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04" w:rsidRDefault="00B10904" w:rsidP="002F6EB7">
      <w:pPr>
        <w:jc w:val="center"/>
        <w:rPr>
          <w:b/>
          <w:sz w:val="28"/>
          <w:szCs w:val="28"/>
        </w:rPr>
      </w:pPr>
      <w:bookmarkStart w:id="0" w:name="_GoBack"/>
      <w:bookmarkEnd w:id="0"/>
    </w:p>
    <w:p w:rsidR="00B10904" w:rsidRDefault="00B10904" w:rsidP="002F6EB7">
      <w:pPr>
        <w:jc w:val="center"/>
        <w:rPr>
          <w:b/>
          <w:sz w:val="28"/>
          <w:szCs w:val="28"/>
        </w:rPr>
      </w:pPr>
      <w:r>
        <w:rPr>
          <w:noProof/>
          <w:lang w:eastAsia="en-IE"/>
        </w:rPr>
        <w:drawing>
          <wp:inline distT="0" distB="0" distL="0" distR="0" wp14:anchorId="03C20945" wp14:editId="45EA4C8C">
            <wp:extent cx="2383200" cy="1353600"/>
            <wp:effectExtent l="0" t="0" r="0" b="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144" cy="1368904"/>
                    </a:xfrm>
                    <a:prstGeom prst="rect">
                      <a:avLst/>
                    </a:prstGeom>
                    <a:noFill/>
                    <a:ln>
                      <a:noFill/>
                    </a:ln>
                  </pic:spPr>
                </pic:pic>
              </a:graphicData>
            </a:graphic>
          </wp:inline>
        </w:drawing>
      </w:r>
    </w:p>
    <w:p w:rsidR="002F6EB7" w:rsidRPr="000B34DA" w:rsidRDefault="00D25FC8" w:rsidP="002F6EB7">
      <w:pPr>
        <w:jc w:val="center"/>
        <w:rPr>
          <w:b/>
          <w:sz w:val="28"/>
          <w:szCs w:val="28"/>
        </w:rPr>
      </w:pPr>
      <w:r w:rsidRPr="000B34DA">
        <w:rPr>
          <w:b/>
          <w:sz w:val="28"/>
          <w:szCs w:val="28"/>
        </w:rPr>
        <w:t>Quality and Quality Assurance Irela</w:t>
      </w:r>
      <w:r w:rsidR="007E4AD7">
        <w:rPr>
          <w:b/>
          <w:sz w:val="28"/>
          <w:szCs w:val="28"/>
        </w:rPr>
        <w:t>nd (QQI)</w:t>
      </w:r>
      <w:r w:rsidR="002F6EB7" w:rsidRPr="002F6EB7">
        <w:rPr>
          <w:b/>
          <w:sz w:val="28"/>
          <w:szCs w:val="28"/>
        </w:rPr>
        <w:t xml:space="preserve"> </w:t>
      </w:r>
      <w:r w:rsidR="002F6EB7">
        <w:rPr>
          <w:b/>
          <w:sz w:val="28"/>
          <w:szCs w:val="28"/>
        </w:rPr>
        <w:t>Strategy Statement (2014-2016)</w:t>
      </w:r>
    </w:p>
    <w:p w:rsidR="002F6EB7" w:rsidRDefault="0070754D" w:rsidP="00026F05">
      <w:pPr>
        <w:jc w:val="center"/>
        <w:rPr>
          <w:b/>
          <w:sz w:val="28"/>
          <w:szCs w:val="28"/>
        </w:rPr>
      </w:pPr>
      <w:r>
        <w:rPr>
          <w:b/>
          <w:sz w:val="28"/>
          <w:szCs w:val="28"/>
        </w:rPr>
        <w:t xml:space="preserve">Draft </w:t>
      </w:r>
      <w:r w:rsidR="002F6EB7" w:rsidRPr="000B34DA">
        <w:rPr>
          <w:b/>
          <w:sz w:val="28"/>
          <w:szCs w:val="28"/>
        </w:rPr>
        <w:t xml:space="preserve">Preliminary Observations </w:t>
      </w:r>
    </w:p>
    <w:p w:rsidR="00D25FC8" w:rsidRPr="00026F05" w:rsidRDefault="00D25FC8" w:rsidP="00026F05">
      <w:pPr>
        <w:jc w:val="center"/>
        <w:rPr>
          <w:b/>
          <w:sz w:val="28"/>
          <w:szCs w:val="28"/>
        </w:rPr>
      </w:pPr>
      <w:r w:rsidRPr="00026F05">
        <w:rPr>
          <w:b/>
          <w:sz w:val="28"/>
          <w:szCs w:val="28"/>
        </w:rPr>
        <w:t xml:space="preserve">Teachers’ Union of Ireland </w:t>
      </w:r>
      <w:r w:rsidR="00026F05">
        <w:rPr>
          <w:b/>
          <w:sz w:val="28"/>
          <w:szCs w:val="28"/>
        </w:rPr>
        <w:t>-</w:t>
      </w:r>
      <w:r w:rsidR="004E5FC9">
        <w:rPr>
          <w:b/>
          <w:sz w:val="28"/>
          <w:szCs w:val="28"/>
        </w:rPr>
        <w:t xml:space="preserve"> </w:t>
      </w:r>
      <w:r w:rsidR="00026F05">
        <w:rPr>
          <w:b/>
          <w:sz w:val="28"/>
          <w:szCs w:val="28"/>
        </w:rPr>
        <w:t xml:space="preserve">TUI </w:t>
      </w:r>
      <w:r w:rsidRPr="00026F05">
        <w:rPr>
          <w:b/>
          <w:sz w:val="28"/>
          <w:szCs w:val="28"/>
        </w:rPr>
        <w:t>(July 2013)</w:t>
      </w:r>
    </w:p>
    <w:p w:rsidR="000B34DA" w:rsidRPr="00026F05" w:rsidRDefault="000B34DA">
      <w:pPr>
        <w:rPr>
          <w:b/>
          <w:sz w:val="28"/>
          <w:szCs w:val="28"/>
        </w:rPr>
      </w:pPr>
      <w:r w:rsidRPr="00026F05">
        <w:rPr>
          <w:b/>
          <w:sz w:val="28"/>
          <w:szCs w:val="28"/>
        </w:rPr>
        <w:t>Introduction</w:t>
      </w:r>
    </w:p>
    <w:p w:rsidR="003E1663" w:rsidRPr="00026F05" w:rsidRDefault="00C2189D" w:rsidP="00CE40B8">
      <w:pPr>
        <w:jc w:val="both"/>
        <w:rPr>
          <w:sz w:val="24"/>
          <w:szCs w:val="24"/>
        </w:rPr>
      </w:pPr>
      <w:r w:rsidRPr="00026F05">
        <w:rPr>
          <w:sz w:val="24"/>
          <w:szCs w:val="24"/>
        </w:rPr>
        <w:t xml:space="preserve">The Teachers’ Union of Ireland (TUI) represents close to 15,000 teachers and lecturers working in post-primary schools, </w:t>
      </w:r>
      <w:r w:rsidR="00493969" w:rsidRPr="00026F05">
        <w:rPr>
          <w:sz w:val="24"/>
          <w:szCs w:val="24"/>
        </w:rPr>
        <w:t>in further</w:t>
      </w:r>
      <w:r w:rsidRPr="00026F05">
        <w:rPr>
          <w:sz w:val="24"/>
          <w:szCs w:val="24"/>
        </w:rPr>
        <w:t xml:space="preserve"> and adult education contexts and in third level colleges.  It has long experience </w:t>
      </w:r>
      <w:r w:rsidR="00D25FC8" w:rsidRPr="00026F05">
        <w:rPr>
          <w:sz w:val="24"/>
          <w:szCs w:val="24"/>
        </w:rPr>
        <w:t xml:space="preserve">and strong knowledge </w:t>
      </w:r>
      <w:r w:rsidRPr="00026F05">
        <w:rPr>
          <w:sz w:val="24"/>
          <w:szCs w:val="24"/>
        </w:rPr>
        <w:t xml:space="preserve">of qualification issues and </w:t>
      </w:r>
      <w:r w:rsidR="00D25FC8" w:rsidRPr="00026F05">
        <w:rPr>
          <w:sz w:val="24"/>
          <w:szCs w:val="24"/>
        </w:rPr>
        <w:t xml:space="preserve">current </w:t>
      </w:r>
      <w:r w:rsidRPr="00026F05">
        <w:rPr>
          <w:sz w:val="24"/>
          <w:szCs w:val="24"/>
        </w:rPr>
        <w:t>quality assurance practices at each of these levels of education and of how former awarding and quality assurance bodies operated</w:t>
      </w:r>
      <w:r w:rsidR="00947AA0" w:rsidRPr="00026F05">
        <w:rPr>
          <w:sz w:val="24"/>
          <w:szCs w:val="24"/>
        </w:rPr>
        <w:t xml:space="preserve">. </w:t>
      </w:r>
      <w:r w:rsidRPr="00026F05">
        <w:rPr>
          <w:sz w:val="24"/>
          <w:szCs w:val="24"/>
        </w:rPr>
        <w:t>Most particularly, it has a strong knowledge and understanding of practitioner views (teachers, lecturers, organisers and managers) on a range of relevant issues</w:t>
      </w:r>
      <w:r w:rsidR="003E1663" w:rsidRPr="00026F05">
        <w:rPr>
          <w:sz w:val="24"/>
          <w:szCs w:val="24"/>
        </w:rPr>
        <w:t>. These</w:t>
      </w:r>
      <w:r w:rsidRPr="00026F05">
        <w:rPr>
          <w:sz w:val="24"/>
          <w:szCs w:val="24"/>
        </w:rPr>
        <w:t xml:space="preserve"> embrace the perspectives of those involved in managing, developing and delivering programmes of study (part-time and full-time)</w:t>
      </w:r>
      <w:r w:rsidR="00026F05">
        <w:rPr>
          <w:sz w:val="24"/>
          <w:szCs w:val="24"/>
        </w:rPr>
        <w:t>,</w:t>
      </w:r>
      <w:r w:rsidRPr="00026F05">
        <w:rPr>
          <w:sz w:val="24"/>
          <w:szCs w:val="24"/>
        </w:rPr>
        <w:t xml:space="preserve"> </w:t>
      </w:r>
      <w:r w:rsidR="003E1663" w:rsidRPr="00026F05">
        <w:rPr>
          <w:sz w:val="24"/>
          <w:szCs w:val="24"/>
        </w:rPr>
        <w:t xml:space="preserve">designed to meet a wide range of learners and delivered </w:t>
      </w:r>
      <w:r w:rsidRPr="00026F05">
        <w:rPr>
          <w:sz w:val="24"/>
          <w:szCs w:val="24"/>
        </w:rPr>
        <w:t>in a variety of contexts</w:t>
      </w:r>
      <w:r w:rsidR="003E1663" w:rsidRPr="00026F05">
        <w:rPr>
          <w:sz w:val="24"/>
          <w:szCs w:val="24"/>
        </w:rPr>
        <w:t xml:space="preserve">. As the representative body of professional practitioners it has much to contribute to the framing of new policies and procedures by the QQI. </w:t>
      </w:r>
    </w:p>
    <w:p w:rsidR="000B34DA" w:rsidRPr="00026F05" w:rsidRDefault="000B34DA" w:rsidP="00CE40B8">
      <w:pPr>
        <w:tabs>
          <w:tab w:val="left" w:pos="2404"/>
        </w:tabs>
        <w:jc w:val="both"/>
        <w:rPr>
          <w:b/>
          <w:sz w:val="28"/>
          <w:szCs w:val="28"/>
        </w:rPr>
      </w:pPr>
      <w:r w:rsidRPr="00026F05">
        <w:rPr>
          <w:b/>
          <w:sz w:val="28"/>
          <w:szCs w:val="28"/>
        </w:rPr>
        <w:t xml:space="preserve">General </w:t>
      </w:r>
      <w:r w:rsidR="00CE40B8">
        <w:rPr>
          <w:b/>
          <w:sz w:val="28"/>
          <w:szCs w:val="28"/>
        </w:rPr>
        <w:t>R</w:t>
      </w:r>
      <w:r w:rsidRPr="00026F05">
        <w:rPr>
          <w:b/>
          <w:sz w:val="28"/>
          <w:szCs w:val="28"/>
        </w:rPr>
        <w:t>emarks</w:t>
      </w:r>
      <w:r w:rsidR="00CE40B8">
        <w:rPr>
          <w:b/>
          <w:sz w:val="28"/>
          <w:szCs w:val="28"/>
        </w:rPr>
        <w:tab/>
      </w:r>
    </w:p>
    <w:p w:rsidR="00443F9C" w:rsidRPr="00026F05" w:rsidRDefault="003E1663" w:rsidP="00CE40B8">
      <w:pPr>
        <w:pStyle w:val="ListParagraph"/>
        <w:numPr>
          <w:ilvl w:val="0"/>
          <w:numId w:val="1"/>
        </w:numPr>
        <w:jc w:val="both"/>
        <w:rPr>
          <w:sz w:val="24"/>
          <w:szCs w:val="24"/>
        </w:rPr>
      </w:pPr>
      <w:r w:rsidRPr="00026F05">
        <w:rPr>
          <w:sz w:val="24"/>
          <w:szCs w:val="24"/>
        </w:rPr>
        <w:t xml:space="preserve">Although the public consultation process that is now underway is welcome TUI re-iterates </w:t>
      </w:r>
      <w:r w:rsidR="00863887" w:rsidRPr="00026F05">
        <w:rPr>
          <w:sz w:val="24"/>
          <w:szCs w:val="24"/>
        </w:rPr>
        <w:t>it’s</w:t>
      </w:r>
      <w:r w:rsidRPr="00026F05">
        <w:rPr>
          <w:sz w:val="24"/>
          <w:szCs w:val="24"/>
        </w:rPr>
        <w:t xml:space="preserve"> </w:t>
      </w:r>
      <w:r w:rsidR="00493969" w:rsidRPr="00026F05">
        <w:rPr>
          <w:sz w:val="24"/>
          <w:szCs w:val="24"/>
        </w:rPr>
        <w:t>earlier message</w:t>
      </w:r>
      <w:r w:rsidRPr="00026F05">
        <w:rPr>
          <w:sz w:val="24"/>
          <w:szCs w:val="24"/>
        </w:rPr>
        <w:t xml:space="preserve"> </w:t>
      </w:r>
      <w:r w:rsidR="00947AA0" w:rsidRPr="00026F05">
        <w:rPr>
          <w:sz w:val="24"/>
          <w:szCs w:val="24"/>
        </w:rPr>
        <w:t xml:space="preserve">to QQI </w:t>
      </w:r>
      <w:r w:rsidRPr="00026F05">
        <w:rPr>
          <w:sz w:val="24"/>
          <w:szCs w:val="24"/>
        </w:rPr>
        <w:t>(communicated verbally and in writing</w:t>
      </w:r>
      <w:r w:rsidR="000B34DA" w:rsidRPr="00026F05">
        <w:rPr>
          <w:sz w:val="24"/>
          <w:szCs w:val="24"/>
        </w:rPr>
        <w:t>)</w:t>
      </w:r>
      <w:r w:rsidRPr="00026F05">
        <w:rPr>
          <w:sz w:val="24"/>
          <w:szCs w:val="24"/>
        </w:rPr>
        <w:t xml:space="preserve"> that the consultation process must include specific </w:t>
      </w:r>
      <w:r w:rsidR="003D4E7F" w:rsidRPr="00026F05">
        <w:rPr>
          <w:sz w:val="24"/>
          <w:szCs w:val="24"/>
        </w:rPr>
        <w:t xml:space="preserve">and regular </w:t>
      </w:r>
      <w:r w:rsidRPr="00026F05">
        <w:rPr>
          <w:sz w:val="24"/>
          <w:szCs w:val="24"/>
        </w:rPr>
        <w:t>consultation meetings with key stakeholders</w:t>
      </w:r>
      <w:r w:rsidR="003D4E7F" w:rsidRPr="00026F05">
        <w:rPr>
          <w:sz w:val="24"/>
          <w:szCs w:val="24"/>
        </w:rPr>
        <w:t>, including the union</w:t>
      </w:r>
      <w:r w:rsidR="00947AA0" w:rsidRPr="00026F05">
        <w:rPr>
          <w:sz w:val="24"/>
          <w:szCs w:val="24"/>
        </w:rPr>
        <w:t>.  I</w:t>
      </w:r>
      <w:r w:rsidRPr="00026F05">
        <w:rPr>
          <w:sz w:val="24"/>
          <w:szCs w:val="24"/>
        </w:rPr>
        <w:t xml:space="preserve">t </w:t>
      </w:r>
      <w:r w:rsidR="003D4E7F" w:rsidRPr="00026F05">
        <w:rPr>
          <w:sz w:val="24"/>
          <w:szCs w:val="24"/>
        </w:rPr>
        <w:t xml:space="preserve">understands that the QQI has plans to set up a stakeholder forum in the near future and it </w:t>
      </w:r>
      <w:r w:rsidRPr="00026F05">
        <w:rPr>
          <w:sz w:val="24"/>
          <w:szCs w:val="24"/>
        </w:rPr>
        <w:t xml:space="preserve">welcomes the recent </w:t>
      </w:r>
      <w:r w:rsidR="003D4E7F" w:rsidRPr="00026F05">
        <w:rPr>
          <w:sz w:val="24"/>
          <w:szCs w:val="24"/>
        </w:rPr>
        <w:t>communication suggesting a discrete meeting with TUI in the autumn period</w:t>
      </w:r>
      <w:r w:rsidRPr="00026F05">
        <w:rPr>
          <w:sz w:val="24"/>
          <w:szCs w:val="24"/>
        </w:rPr>
        <w:t xml:space="preserve">. </w:t>
      </w:r>
      <w:r w:rsidR="003D4E7F" w:rsidRPr="00026F05">
        <w:rPr>
          <w:sz w:val="24"/>
          <w:szCs w:val="24"/>
        </w:rPr>
        <w:t>It respectfully recommends that a stakeholder forum should be representative in nature and manageable in size. Such a forum should meet on a regular basis – at least three-</w:t>
      </w:r>
      <w:r w:rsidR="00947AA0" w:rsidRPr="00026F05">
        <w:rPr>
          <w:sz w:val="24"/>
          <w:szCs w:val="24"/>
        </w:rPr>
        <w:t xml:space="preserve">four </w:t>
      </w:r>
      <w:r w:rsidR="003D4E7F" w:rsidRPr="00026F05">
        <w:rPr>
          <w:sz w:val="24"/>
          <w:szCs w:val="24"/>
        </w:rPr>
        <w:t xml:space="preserve">times a year, especially </w:t>
      </w:r>
      <w:r w:rsidR="00947AA0" w:rsidRPr="00026F05">
        <w:rPr>
          <w:sz w:val="24"/>
          <w:szCs w:val="24"/>
        </w:rPr>
        <w:t xml:space="preserve">during the phase when </w:t>
      </w:r>
      <w:r w:rsidR="003D4E7F" w:rsidRPr="00026F05">
        <w:rPr>
          <w:sz w:val="24"/>
          <w:szCs w:val="24"/>
        </w:rPr>
        <w:t xml:space="preserve">new policies and procedures are being explored and agreed.  It </w:t>
      </w:r>
      <w:r w:rsidR="00947AA0" w:rsidRPr="00026F05">
        <w:rPr>
          <w:sz w:val="24"/>
          <w:szCs w:val="24"/>
        </w:rPr>
        <w:t xml:space="preserve">further </w:t>
      </w:r>
      <w:r w:rsidR="003D4E7F" w:rsidRPr="00026F05">
        <w:rPr>
          <w:sz w:val="24"/>
          <w:szCs w:val="24"/>
        </w:rPr>
        <w:t>recommends that provision should be made for discrete meetings, as necessary, with particular stakeholders</w:t>
      </w:r>
      <w:r w:rsidR="00947AA0" w:rsidRPr="00026F05">
        <w:rPr>
          <w:sz w:val="24"/>
          <w:szCs w:val="24"/>
        </w:rPr>
        <w:t>,</w:t>
      </w:r>
      <w:r w:rsidR="003D4E7F" w:rsidRPr="00026F05">
        <w:rPr>
          <w:sz w:val="24"/>
          <w:szCs w:val="24"/>
        </w:rPr>
        <w:t xml:space="preserve"> </w:t>
      </w:r>
      <w:r w:rsidR="003D4E7F" w:rsidRPr="00026F05">
        <w:rPr>
          <w:sz w:val="24"/>
          <w:szCs w:val="24"/>
        </w:rPr>
        <w:lastRenderedPageBreak/>
        <w:t>such as TUI</w:t>
      </w:r>
      <w:r w:rsidR="00947AA0" w:rsidRPr="00026F05">
        <w:rPr>
          <w:sz w:val="24"/>
          <w:szCs w:val="24"/>
        </w:rPr>
        <w:t xml:space="preserve">, </w:t>
      </w:r>
      <w:r w:rsidR="003D4E7F" w:rsidRPr="00026F05">
        <w:rPr>
          <w:sz w:val="24"/>
          <w:szCs w:val="24"/>
        </w:rPr>
        <w:t>t</w:t>
      </w:r>
      <w:r w:rsidR="00443F9C" w:rsidRPr="00026F05">
        <w:rPr>
          <w:sz w:val="24"/>
          <w:szCs w:val="24"/>
        </w:rPr>
        <w:t xml:space="preserve">hat </w:t>
      </w:r>
      <w:r w:rsidR="003D4E7F" w:rsidRPr="00026F05">
        <w:rPr>
          <w:sz w:val="24"/>
          <w:szCs w:val="24"/>
        </w:rPr>
        <w:t>ha</w:t>
      </w:r>
      <w:r w:rsidR="00443F9C" w:rsidRPr="00026F05">
        <w:rPr>
          <w:sz w:val="24"/>
          <w:szCs w:val="24"/>
        </w:rPr>
        <w:t>ve a</w:t>
      </w:r>
      <w:r w:rsidR="003D4E7F" w:rsidRPr="00026F05">
        <w:rPr>
          <w:sz w:val="24"/>
          <w:szCs w:val="24"/>
        </w:rPr>
        <w:t xml:space="preserve"> robust and dynamic </w:t>
      </w:r>
      <w:r w:rsidR="00443F9C" w:rsidRPr="00026F05">
        <w:rPr>
          <w:sz w:val="24"/>
          <w:szCs w:val="24"/>
        </w:rPr>
        <w:t xml:space="preserve">connection with qualification and quality assurance issues at a number of levels. </w:t>
      </w:r>
    </w:p>
    <w:p w:rsidR="00C772A9" w:rsidRPr="00026F05" w:rsidRDefault="00C772A9" w:rsidP="00CE40B8">
      <w:pPr>
        <w:pStyle w:val="ListParagraph"/>
        <w:jc w:val="both"/>
        <w:rPr>
          <w:sz w:val="24"/>
          <w:szCs w:val="24"/>
        </w:rPr>
      </w:pPr>
    </w:p>
    <w:p w:rsidR="00CE40B8" w:rsidRDefault="00443F9C" w:rsidP="00CE40B8">
      <w:pPr>
        <w:pStyle w:val="ListParagraph"/>
        <w:numPr>
          <w:ilvl w:val="0"/>
          <w:numId w:val="1"/>
        </w:numPr>
        <w:jc w:val="both"/>
        <w:rPr>
          <w:sz w:val="24"/>
          <w:szCs w:val="24"/>
        </w:rPr>
      </w:pPr>
      <w:r w:rsidRPr="00CE40B8">
        <w:rPr>
          <w:sz w:val="24"/>
          <w:szCs w:val="24"/>
        </w:rPr>
        <w:t xml:space="preserve">TUI accepts that public consultation events such as those scheduled in May of this year </w:t>
      </w:r>
      <w:r w:rsidR="00CE40B8">
        <w:rPr>
          <w:sz w:val="24"/>
          <w:szCs w:val="24"/>
        </w:rPr>
        <w:t xml:space="preserve">play </w:t>
      </w:r>
      <w:r w:rsidRPr="00CE40B8">
        <w:rPr>
          <w:sz w:val="24"/>
          <w:szCs w:val="24"/>
        </w:rPr>
        <w:t xml:space="preserve">an important role in accommodating wide engagement in the development of new QQI policies and procedures as </w:t>
      </w:r>
      <w:r w:rsidR="00CE40B8">
        <w:rPr>
          <w:sz w:val="24"/>
          <w:szCs w:val="24"/>
        </w:rPr>
        <w:t>these evolve</w:t>
      </w:r>
      <w:r w:rsidRPr="00CE40B8">
        <w:rPr>
          <w:sz w:val="24"/>
          <w:szCs w:val="24"/>
        </w:rPr>
        <w:t xml:space="preserve"> and </w:t>
      </w:r>
      <w:r w:rsidR="00947AA0" w:rsidRPr="00CE40B8">
        <w:rPr>
          <w:sz w:val="24"/>
          <w:szCs w:val="24"/>
        </w:rPr>
        <w:t xml:space="preserve">as </w:t>
      </w:r>
      <w:r w:rsidR="00CE40B8">
        <w:rPr>
          <w:sz w:val="24"/>
          <w:szCs w:val="24"/>
        </w:rPr>
        <w:t xml:space="preserve">QQI </w:t>
      </w:r>
      <w:r w:rsidRPr="00CE40B8">
        <w:rPr>
          <w:sz w:val="24"/>
          <w:szCs w:val="24"/>
        </w:rPr>
        <w:t xml:space="preserve">functions consolidate. Such events provide an </w:t>
      </w:r>
      <w:r w:rsidR="00493969" w:rsidRPr="00CE40B8">
        <w:rPr>
          <w:sz w:val="24"/>
          <w:szCs w:val="24"/>
        </w:rPr>
        <w:t>important opportunity</w:t>
      </w:r>
      <w:r w:rsidRPr="00CE40B8">
        <w:rPr>
          <w:sz w:val="24"/>
          <w:szCs w:val="24"/>
        </w:rPr>
        <w:t xml:space="preserve"> for a variety of stakeholder organisations and interested parties to share perspectives and build an understanding of the entire qualifications and quality assurance landscape and associated issues.  However, it is important </w:t>
      </w:r>
      <w:r w:rsidR="00493969" w:rsidRPr="00CE40B8">
        <w:rPr>
          <w:sz w:val="24"/>
          <w:szCs w:val="24"/>
        </w:rPr>
        <w:t>th</w:t>
      </w:r>
      <w:r w:rsidR="00CE40B8" w:rsidRPr="00CE40B8">
        <w:rPr>
          <w:sz w:val="24"/>
          <w:szCs w:val="24"/>
        </w:rPr>
        <w:t xml:space="preserve">at such consultation </w:t>
      </w:r>
      <w:r w:rsidRPr="00CE40B8">
        <w:rPr>
          <w:sz w:val="24"/>
          <w:szCs w:val="24"/>
        </w:rPr>
        <w:t xml:space="preserve">events are </w:t>
      </w:r>
      <w:r w:rsidR="00CE40B8" w:rsidRPr="00CE40B8">
        <w:rPr>
          <w:sz w:val="24"/>
          <w:szCs w:val="24"/>
        </w:rPr>
        <w:t xml:space="preserve">appropriately </w:t>
      </w:r>
      <w:r w:rsidRPr="00CE40B8">
        <w:rPr>
          <w:sz w:val="24"/>
          <w:szCs w:val="24"/>
        </w:rPr>
        <w:t>notified</w:t>
      </w:r>
      <w:r w:rsidR="00CE40B8">
        <w:rPr>
          <w:sz w:val="24"/>
          <w:szCs w:val="24"/>
        </w:rPr>
        <w:t xml:space="preserve">, well in advance of closing dates for submission to </w:t>
      </w:r>
      <w:r w:rsidRPr="00CE40B8">
        <w:rPr>
          <w:sz w:val="24"/>
          <w:szCs w:val="24"/>
        </w:rPr>
        <w:t xml:space="preserve">all possible </w:t>
      </w:r>
      <w:r w:rsidR="00CE40B8">
        <w:rPr>
          <w:sz w:val="24"/>
          <w:szCs w:val="24"/>
        </w:rPr>
        <w:t xml:space="preserve">contributors.  It is also critical that consultation events </w:t>
      </w:r>
      <w:r w:rsidRPr="00CE40B8">
        <w:rPr>
          <w:sz w:val="24"/>
          <w:szCs w:val="24"/>
        </w:rPr>
        <w:t xml:space="preserve">are scheduled at times that accommodate maximum and meaningful participation. </w:t>
      </w:r>
    </w:p>
    <w:p w:rsidR="00CE40B8" w:rsidRPr="00CE40B8" w:rsidRDefault="00CE40B8" w:rsidP="00CE40B8">
      <w:pPr>
        <w:pStyle w:val="ListParagraph"/>
        <w:rPr>
          <w:sz w:val="24"/>
          <w:szCs w:val="24"/>
        </w:rPr>
      </w:pPr>
    </w:p>
    <w:p w:rsidR="006521EF" w:rsidRPr="00CE40B8" w:rsidRDefault="004D54A9" w:rsidP="00CE40B8">
      <w:pPr>
        <w:pStyle w:val="ListParagraph"/>
        <w:numPr>
          <w:ilvl w:val="0"/>
          <w:numId w:val="1"/>
        </w:numPr>
        <w:jc w:val="both"/>
        <w:rPr>
          <w:sz w:val="24"/>
          <w:szCs w:val="24"/>
        </w:rPr>
      </w:pPr>
      <w:r w:rsidRPr="00CE40B8">
        <w:rPr>
          <w:sz w:val="24"/>
          <w:szCs w:val="24"/>
        </w:rPr>
        <w:t>Likewise</w:t>
      </w:r>
      <w:r w:rsidR="00493969" w:rsidRPr="00CE40B8">
        <w:rPr>
          <w:sz w:val="24"/>
          <w:szCs w:val="24"/>
        </w:rPr>
        <w:t>, written</w:t>
      </w:r>
      <w:r w:rsidRPr="00CE40B8">
        <w:rPr>
          <w:sz w:val="24"/>
          <w:szCs w:val="24"/>
        </w:rPr>
        <w:t xml:space="preserve"> feedback and submissions play an important part in gleaning perspectives from the public</w:t>
      </w:r>
      <w:r w:rsidR="00947AA0" w:rsidRPr="00CE40B8">
        <w:rPr>
          <w:sz w:val="24"/>
          <w:szCs w:val="24"/>
        </w:rPr>
        <w:t xml:space="preserve">, </w:t>
      </w:r>
      <w:r w:rsidRPr="00CE40B8">
        <w:rPr>
          <w:sz w:val="24"/>
          <w:szCs w:val="24"/>
        </w:rPr>
        <w:t xml:space="preserve">specific groups and organisations. </w:t>
      </w:r>
      <w:r w:rsidR="000842CD" w:rsidRPr="00CE40B8">
        <w:rPr>
          <w:sz w:val="24"/>
          <w:szCs w:val="24"/>
        </w:rPr>
        <w:t xml:space="preserve">In this regard, </w:t>
      </w:r>
      <w:r w:rsidRPr="00CE40B8">
        <w:rPr>
          <w:sz w:val="24"/>
          <w:szCs w:val="24"/>
        </w:rPr>
        <w:t>notification</w:t>
      </w:r>
      <w:r w:rsidR="00947AA0" w:rsidRPr="00CE40B8">
        <w:rPr>
          <w:sz w:val="24"/>
          <w:szCs w:val="24"/>
        </w:rPr>
        <w:t>s</w:t>
      </w:r>
      <w:r w:rsidRPr="00CE40B8">
        <w:rPr>
          <w:sz w:val="24"/>
          <w:szCs w:val="24"/>
        </w:rPr>
        <w:t xml:space="preserve"> </w:t>
      </w:r>
      <w:r w:rsidR="00947AA0" w:rsidRPr="00CE40B8">
        <w:rPr>
          <w:sz w:val="24"/>
          <w:szCs w:val="24"/>
        </w:rPr>
        <w:t xml:space="preserve">and consultation materials </w:t>
      </w:r>
      <w:r w:rsidR="000842CD" w:rsidRPr="00CE40B8">
        <w:rPr>
          <w:sz w:val="24"/>
          <w:szCs w:val="24"/>
        </w:rPr>
        <w:t xml:space="preserve">must issue well in advance and </w:t>
      </w:r>
      <w:r w:rsidRPr="00CE40B8">
        <w:rPr>
          <w:sz w:val="24"/>
          <w:szCs w:val="24"/>
        </w:rPr>
        <w:t>timeline</w:t>
      </w:r>
      <w:r w:rsidR="000842CD" w:rsidRPr="00CE40B8">
        <w:rPr>
          <w:sz w:val="24"/>
          <w:szCs w:val="24"/>
        </w:rPr>
        <w:t>s</w:t>
      </w:r>
      <w:r w:rsidRPr="00CE40B8">
        <w:rPr>
          <w:sz w:val="24"/>
          <w:szCs w:val="24"/>
        </w:rPr>
        <w:t xml:space="preserve"> for </w:t>
      </w:r>
      <w:r w:rsidR="000842CD" w:rsidRPr="00CE40B8">
        <w:rPr>
          <w:sz w:val="24"/>
          <w:szCs w:val="24"/>
        </w:rPr>
        <w:t xml:space="preserve">the </w:t>
      </w:r>
      <w:r w:rsidRPr="00CE40B8">
        <w:rPr>
          <w:sz w:val="24"/>
          <w:szCs w:val="24"/>
        </w:rPr>
        <w:t>submission</w:t>
      </w:r>
      <w:r w:rsidR="00947AA0" w:rsidRPr="00CE40B8">
        <w:rPr>
          <w:sz w:val="24"/>
          <w:szCs w:val="24"/>
        </w:rPr>
        <w:t xml:space="preserve"> of </w:t>
      </w:r>
      <w:r w:rsidR="00493969" w:rsidRPr="00CE40B8">
        <w:rPr>
          <w:sz w:val="24"/>
          <w:szCs w:val="24"/>
        </w:rPr>
        <w:t>observations must</w:t>
      </w:r>
      <w:r w:rsidRPr="00CE40B8">
        <w:rPr>
          <w:sz w:val="24"/>
          <w:szCs w:val="24"/>
        </w:rPr>
        <w:t xml:space="preserve"> be reasonable and appropriate.  In this regard</w:t>
      </w:r>
      <w:r w:rsidR="00947AA0" w:rsidRPr="00CE40B8">
        <w:rPr>
          <w:sz w:val="24"/>
          <w:szCs w:val="24"/>
        </w:rPr>
        <w:t>,</w:t>
      </w:r>
      <w:r w:rsidRPr="00CE40B8">
        <w:rPr>
          <w:sz w:val="24"/>
          <w:szCs w:val="24"/>
        </w:rPr>
        <w:t xml:space="preserve"> TUI </w:t>
      </w:r>
      <w:r w:rsidR="00443F9C" w:rsidRPr="00CE40B8">
        <w:rPr>
          <w:sz w:val="24"/>
          <w:szCs w:val="24"/>
        </w:rPr>
        <w:t xml:space="preserve">notes </w:t>
      </w:r>
      <w:r w:rsidRPr="00CE40B8">
        <w:rPr>
          <w:sz w:val="24"/>
          <w:szCs w:val="24"/>
        </w:rPr>
        <w:t xml:space="preserve">disappointment and frustration at the </w:t>
      </w:r>
      <w:r w:rsidR="00443F9C" w:rsidRPr="00CE40B8">
        <w:rPr>
          <w:sz w:val="24"/>
          <w:szCs w:val="24"/>
        </w:rPr>
        <w:t xml:space="preserve">timing of </w:t>
      </w:r>
      <w:r w:rsidRPr="00CE40B8">
        <w:rPr>
          <w:sz w:val="24"/>
          <w:szCs w:val="24"/>
        </w:rPr>
        <w:t xml:space="preserve">the recent public consultation events (May) and the timelines for written submissions </w:t>
      </w:r>
      <w:r w:rsidR="00947AA0" w:rsidRPr="00CE40B8">
        <w:rPr>
          <w:sz w:val="24"/>
          <w:szCs w:val="24"/>
        </w:rPr>
        <w:t xml:space="preserve">and </w:t>
      </w:r>
      <w:r w:rsidRPr="00CE40B8">
        <w:rPr>
          <w:sz w:val="24"/>
          <w:szCs w:val="24"/>
        </w:rPr>
        <w:t xml:space="preserve">on-line feedback (material provided in mid-late May </w:t>
      </w:r>
      <w:r w:rsidR="00947AA0" w:rsidRPr="00CE40B8">
        <w:rPr>
          <w:sz w:val="24"/>
          <w:szCs w:val="24"/>
        </w:rPr>
        <w:t xml:space="preserve">with </w:t>
      </w:r>
      <w:r w:rsidRPr="00CE40B8">
        <w:rPr>
          <w:sz w:val="24"/>
          <w:szCs w:val="24"/>
        </w:rPr>
        <w:t>submission</w:t>
      </w:r>
      <w:r w:rsidR="00947AA0" w:rsidRPr="00CE40B8">
        <w:rPr>
          <w:sz w:val="24"/>
          <w:szCs w:val="24"/>
        </w:rPr>
        <w:t xml:space="preserve"> dates in </w:t>
      </w:r>
      <w:r w:rsidRPr="00CE40B8">
        <w:rPr>
          <w:sz w:val="24"/>
          <w:szCs w:val="24"/>
        </w:rPr>
        <w:t xml:space="preserve">early June and mid-Sept).  These </w:t>
      </w:r>
      <w:r w:rsidR="00947AA0" w:rsidRPr="00CE40B8">
        <w:rPr>
          <w:sz w:val="24"/>
          <w:szCs w:val="24"/>
        </w:rPr>
        <w:t xml:space="preserve">dates and times are in direct conflict </w:t>
      </w:r>
      <w:r w:rsidR="00D25FC8" w:rsidRPr="00CE40B8">
        <w:rPr>
          <w:sz w:val="24"/>
          <w:szCs w:val="24"/>
        </w:rPr>
        <w:t>w</w:t>
      </w:r>
      <w:r w:rsidR="00947AA0" w:rsidRPr="00CE40B8">
        <w:rPr>
          <w:sz w:val="24"/>
          <w:szCs w:val="24"/>
        </w:rPr>
        <w:t>ith t</w:t>
      </w:r>
      <w:r w:rsidR="00D25FC8" w:rsidRPr="00CE40B8">
        <w:rPr>
          <w:sz w:val="24"/>
          <w:szCs w:val="24"/>
        </w:rPr>
        <w:t xml:space="preserve">ime bound responsibilities </w:t>
      </w:r>
      <w:r w:rsidR="00947AA0" w:rsidRPr="00CE40B8">
        <w:rPr>
          <w:sz w:val="24"/>
          <w:szCs w:val="24"/>
        </w:rPr>
        <w:t xml:space="preserve">of relevant personnel, </w:t>
      </w:r>
      <w:r w:rsidR="00D25FC8" w:rsidRPr="00CE40B8">
        <w:rPr>
          <w:sz w:val="24"/>
          <w:szCs w:val="24"/>
        </w:rPr>
        <w:t>most notably examination</w:t>
      </w:r>
      <w:r w:rsidR="00947AA0" w:rsidRPr="00CE40B8">
        <w:rPr>
          <w:sz w:val="24"/>
          <w:szCs w:val="24"/>
        </w:rPr>
        <w:t>s</w:t>
      </w:r>
      <w:r w:rsidR="00D25FC8" w:rsidRPr="00CE40B8">
        <w:rPr>
          <w:sz w:val="24"/>
          <w:szCs w:val="24"/>
        </w:rPr>
        <w:t xml:space="preserve"> and</w:t>
      </w:r>
      <w:r w:rsidR="00947AA0" w:rsidRPr="00CE40B8">
        <w:rPr>
          <w:sz w:val="24"/>
          <w:szCs w:val="24"/>
        </w:rPr>
        <w:t xml:space="preserve"> end of year or commencement of year events</w:t>
      </w:r>
      <w:r w:rsidR="00AE78A2" w:rsidRPr="00CE40B8">
        <w:rPr>
          <w:sz w:val="24"/>
          <w:szCs w:val="24"/>
        </w:rPr>
        <w:t>. T</w:t>
      </w:r>
      <w:r w:rsidR="00D25FC8" w:rsidRPr="00CE40B8">
        <w:rPr>
          <w:sz w:val="24"/>
          <w:szCs w:val="24"/>
        </w:rPr>
        <w:t xml:space="preserve">herefore, </w:t>
      </w:r>
      <w:r w:rsidR="00AE78A2" w:rsidRPr="00CE40B8">
        <w:rPr>
          <w:sz w:val="24"/>
          <w:szCs w:val="24"/>
        </w:rPr>
        <w:t>they d</w:t>
      </w:r>
      <w:r w:rsidR="00CE40B8">
        <w:rPr>
          <w:sz w:val="24"/>
          <w:szCs w:val="24"/>
        </w:rPr>
        <w:t>o</w:t>
      </w:r>
      <w:r w:rsidR="00AE78A2" w:rsidRPr="00CE40B8">
        <w:rPr>
          <w:sz w:val="24"/>
          <w:szCs w:val="24"/>
        </w:rPr>
        <w:t xml:space="preserve"> </w:t>
      </w:r>
      <w:r w:rsidRPr="00CE40B8">
        <w:rPr>
          <w:sz w:val="24"/>
          <w:szCs w:val="24"/>
        </w:rPr>
        <w:t xml:space="preserve">not allow </w:t>
      </w:r>
      <w:r w:rsidR="00D25FC8" w:rsidRPr="00CE40B8">
        <w:rPr>
          <w:sz w:val="24"/>
          <w:szCs w:val="24"/>
        </w:rPr>
        <w:t xml:space="preserve">adequate opportunity for </w:t>
      </w:r>
      <w:r w:rsidRPr="00CE40B8">
        <w:rPr>
          <w:sz w:val="24"/>
          <w:szCs w:val="24"/>
        </w:rPr>
        <w:t>TUI</w:t>
      </w:r>
      <w:r w:rsidR="00AE78A2" w:rsidRPr="00CE40B8">
        <w:rPr>
          <w:sz w:val="24"/>
          <w:szCs w:val="24"/>
        </w:rPr>
        <w:t>,</w:t>
      </w:r>
      <w:r w:rsidR="00D25FC8" w:rsidRPr="00CE40B8">
        <w:rPr>
          <w:sz w:val="24"/>
          <w:szCs w:val="24"/>
        </w:rPr>
        <w:t xml:space="preserve"> as a representative organisation,</w:t>
      </w:r>
      <w:r w:rsidRPr="00CE40B8">
        <w:rPr>
          <w:sz w:val="24"/>
          <w:szCs w:val="24"/>
        </w:rPr>
        <w:t xml:space="preserve"> to consult widely and thoroughly with its membership</w:t>
      </w:r>
      <w:r w:rsidR="00D25FC8" w:rsidRPr="00CE40B8">
        <w:rPr>
          <w:sz w:val="24"/>
          <w:szCs w:val="24"/>
        </w:rPr>
        <w:t>. This approach should be avoided in the future as it will only serve to render the consulta</w:t>
      </w:r>
      <w:r w:rsidR="00AE78A2" w:rsidRPr="00CE40B8">
        <w:rPr>
          <w:sz w:val="24"/>
          <w:szCs w:val="24"/>
        </w:rPr>
        <w:t>t</w:t>
      </w:r>
      <w:r w:rsidR="00D25FC8" w:rsidRPr="00CE40B8">
        <w:rPr>
          <w:sz w:val="24"/>
          <w:szCs w:val="24"/>
        </w:rPr>
        <w:t>ion process less meaningful and useful and will frustrate positive relationship</w:t>
      </w:r>
      <w:r w:rsidR="00AE78A2" w:rsidRPr="00CE40B8">
        <w:rPr>
          <w:sz w:val="24"/>
          <w:szCs w:val="24"/>
        </w:rPr>
        <w:t>s</w:t>
      </w:r>
      <w:r w:rsidR="00D25FC8" w:rsidRPr="00CE40B8">
        <w:rPr>
          <w:sz w:val="24"/>
          <w:szCs w:val="24"/>
        </w:rPr>
        <w:t xml:space="preserve"> </w:t>
      </w:r>
      <w:r w:rsidR="00AE78A2" w:rsidRPr="00CE40B8">
        <w:rPr>
          <w:sz w:val="24"/>
          <w:szCs w:val="24"/>
        </w:rPr>
        <w:t xml:space="preserve">with </w:t>
      </w:r>
      <w:r w:rsidR="00D25FC8" w:rsidRPr="00CE40B8">
        <w:rPr>
          <w:sz w:val="24"/>
          <w:szCs w:val="24"/>
        </w:rPr>
        <w:t>the QQI.</w:t>
      </w:r>
      <w:r w:rsidR="00CE40B8" w:rsidRPr="00CE40B8">
        <w:rPr>
          <w:sz w:val="24"/>
          <w:szCs w:val="24"/>
        </w:rPr>
        <w:t xml:space="preserve"> Therefore, TUI respectfully requests that the date for submission of feedback on </w:t>
      </w:r>
      <w:r w:rsidR="00CE40B8">
        <w:rPr>
          <w:sz w:val="24"/>
          <w:szCs w:val="24"/>
        </w:rPr>
        <w:t xml:space="preserve">the </w:t>
      </w:r>
      <w:r w:rsidR="00CE40B8" w:rsidRPr="00CE40B8">
        <w:rPr>
          <w:sz w:val="24"/>
          <w:szCs w:val="24"/>
        </w:rPr>
        <w:t xml:space="preserve">second phase of the green papers be extended to the end of September.   </w:t>
      </w:r>
    </w:p>
    <w:p w:rsidR="006521EF" w:rsidRPr="00A50C8C" w:rsidRDefault="006521EF" w:rsidP="00CE40B8">
      <w:pPr>
        <w:jc w:val="both"/>
        <w:rPr>
          <w:b/>
          <w:sz w:val="28"/>
          <w:szCs w:val="28"/>
        </w:rPr>
      </w:pPr>
      <w:r w:rsidRPr="00A50C8C">
        <w:rPr>
          <w:b/>
          <w:sz w:val="28"/>
          <w:szCs w:val="28"/>
        </w:rPr>
        <w:t>QQI Strategy Statement 2014-2016</w:t>
      </w:r>
    </w:p>
    <w:p w:rsidR="006521EF" w:rsidRPr="00026F05" w:rsidRDefault="006521EF" w:rsidP="00CE40B8">
      <w:pPr>
        <w:jc w:val="both"/>
        <w:rPr>
          <w:sz w:val="24"/>
          <w:szCs w:val="24"/>
        </w:rPr>
      </w:pPr>
      <w:r w:rsidRPr="00026F05">
        <w:rPr>
          <w:sz w:val="24"/>
          <w:szCs w:val="24"/>
        </w:rPr>
        <w:t>Broadly</w:t>
      </w:r>
      <w:r w:rsidR="00546919" w:rsidRPr="00026F05">
        <w:rPr>
          <w:sz w:val="24"/>
          <w:szCs w:val="24"/>
        </w:rPr>
        <w:t xml:space="preserve">, </w:t>
      </w:r>
      <w:r w:rsidRPr="00026F05">
        <w:rPr>
          <w:sz w:val="24"/>
          <w:szCs w:val="24"/>
        </w:rPr>
        <w:t>TUI sees the strategy statement as comprehensive, clear, relevant and accessible</w:t>
      </w:r>
      <w:r w:rsidR="00305BB6" w:rsidRPr="00026F05">
        <w:rPr>
          <w:sz w:val="24"/>
          <w:szCs w:val="24"/>
        </w:rPr>
        <w:t xml:space="preserve"> and </w:t>
      </w:r>
      <w:r w:rsidR="00546919" w:rsidRPr="00026F05">
        <w:rPr>
          <w:sz w:val="24"/>
          <w:szCs w:val="24"/>
        </w:rPr>
        <w:t>offers the following brief remarks to assist in strengthening the statement and mak</w:t>
      </w:r>
      <w:r w:rsidR="000842CD">
        <w:rPr>
          <w:sz w:val="24"/>
          <w:szCs w:val="24"/>
        </w:rPr>
        <w:t>e</w:t>
      </w:r>
      <w:r w:rsidR="00546919" w:rsidRPr="00026F05">
        <w:rPr>
          <w:sz w:val="24"/>
          <w:szCs w:val="24"/>
        </w:rPr>
        <w:t xml:space="preserve"> it more </w:t>
      </w:r>
      <w:r w:rsidR="000842CD">
        <w:rPr>
          <w:sz w:val="24"/>
          <w:szCs w:val="24"/>
        </w:rPr>
        <w:t xml:space="preserve">relevant and </w:t>
      </w:r>
      <w:r w:rsidR="00546919" w:rsidRPr="00026F05">
        <w:rPr>
          <w:sz w:val="24"/>
          <w:szCs w:val="24"/>
        </w:rPr>
        <w:t xml:space="preserve">meaningful. </w:t>
      </w:r>
      <w:r w:rsidRPr="00026F05">
        <w:rPr>
          <w:sz w:val="24"/>
          <w:szCs w:val="24"/>
        </w:rPr>
        <w:t xml:space="preserve"> </w:t>
      </w:r>
    </w:p>
    <w:p w:rsidR="00DF784E" w:rsidRPr="002F6EB7" w:rsidRDefault="001F397A" w:rsidP="00CE40B8">
      <w:pPr>
        <w:pStyle w:val="ListParagraph"/>
        <w:numPr>
          <w:ilvl w:val="0"/>
          <w:numId w:val="11"/>
        </w:numPr>
        <w:jc w:val="both"/>
        <w:rPr>
          <w:sz w:val="24"/>
          <w:szCs w:val="24"/>
        </w:rPr>
      </w:pPr>
      <w:r w:rsidRPr="002F6EB7">
        <w:rPr>
          <w:b/>
          <w:i/>
          <w:sz w:val="24"/>
          <w:szCs w:val="24"/>
        </w:rPr>
        <w:t>Mission</w:t>
      </w:r>
      <w:r w:rsidR="006F3161" w:rsidRPr="002F6EB7">
        <w:rPr>
          <w:b/>
          <w:i/>
          <w:sz w:val="24"/>
          <w:szCs w:val="24"/>
        </w:rPr>
        <w:t xml:space="preserve">                                                                                                                                 </w:t>
      </w:r>
      <w:r w:rsidR="002C1942" w:rsidRPr="002F6EB7">
        <w:rPr>
          <w:b/>
          <w:i/>
          <w:sz w:val="24"/>
          <w:szCs w:val="24"/>
        </w:rPr>
        <w:t xml:space="preserve"> </w:t>
      </w:r>
      <w:r w:rsidRPr="002F6EB7">
        <w:rPr>
          <w:sz w:val="24"/>
          <w:szCs w:val="24"/>
        </w:rPr>
        <w:t>Safeguarding quality is an important mission statement b</w:t>
      </w:r>
      <w:r w:rsidR="00DF784E" w:rsidRPr="002F6EB7">
        <w:rPr>
          <w:sz w:val="24"/>
          <w:szCs w:val="24"/>
        </w:rPr>
        <w:t>ut a question arises as to whether the QQI would</w:t>
      </w:r>
      <w:r w:rsidR="00C773CF" w:rsidRPr="002F6EB7">
        <w:rPr>
          <w:sz w:val="24"/>
          <w:szCs w:val="24"/>
        </w:rPr>
        <w:t>, in</w:t>
      </w:r>
      <w:r w:rsidR="00DF784E" w:rsidRPr="002F6EB7">
        <w:rPr>
          <w:sz w:val="24"/>
          <w:szCs w:val="24"/>
        </w:rPr>
        <w:t xml:space="preserve"> the first instance</w:t>
      </w:r>
      <w:r w:rsidR="000842CD" w:rsidRPr="002F6EB7">
        <w:rPr>
          <w:sz w:val="24"/>
          <w:szCs w:val="24"/>
        </w:rPr>
        <w:t>,</w:t>
      </w:r>
      <w:r w:rsidR="00DF784E" w:rsidRPr="002F6EB7">
        <w:rPr>
          <w:sz w:val="24"/>
          <w:szCs w:val="24"/>
        </w:rPr>
        <w:t xml:space="preserve"> not have to ensure the development of quality. </w:t>
      </w:r>
    </w:p>
    <w:p w:rsidR="002F6EB7" w:rsidRDefault="002F6EB7" w:rsidP="00CE40B8">
      <w:pPr>
        <w:pStyle w:val="ListParagraph"/>
        <w:jc w:val="both"/>
        <w:rPr>
          <w:sz w:val="24"/>
          <w:szCs w:val="24"/>
        </w:rPr>
      </w:pPr>
    </w:p>
    <w:p w:rsidR="00DF784E" w:rsidRPr="002F6EB7" w:rsidRDefault="00DF784E" w:rsidP="00CE40B8">
      <w:pPr>
        <w:pStyle w:val="ListParagraph"/>
        <w:jc w:val="both"/>
        <w:rPr>
          <w:sz w:val="24"/>
          <w:szCs w:val="24"/>
        </w:rPr>
      </w:pPr>
      <w:r w:rsidRPr="002F6EB7">
        <w:rPr>
          <w:sz w:val="24"/>
          <w:szCs w:val="24"/>
        </w:rPr>
        <w:lastRenderedPageBreak/>
        <w:t xml:space="preserve">It is fitting that </w:t>
      </w:r>
      <w:r w:rsidR="000842CD" w:rsidRPr="002F6EB7">
        <w:rPr>
          <w:sz w:val="24"/>
          <w:szCs w:val="24"/>
        </w:rPr>
        <w:t xml:space="preserve">quality and </w:t>
      </w:r>
      <w:r w:rsidRPr="002F6EB7">
        <w:rPr>
          <w:sz w:val="24"/>
          <w:szCs w:val="24"/>
        </w:rPr>
        <w:t xml:space="preserve">the recognition of programmes and qualifications </w:t>
      </w:r>
      <w:r w:rsidR="000842CD" w:rsidRPr="002F6EB7">
        <w:rPr>
          <w:sz w:val="24"/>
          <w:szCs w:val="24"/>
        </w:rPr>
        <w:t xml:space="preserve">are </w:t>
      </w:r>
      <w:r w:rsidRPr="002F6EB7">
        <w:rPr>
          <w:sz w:val="24"/>
          <w:szCs w:val="24"/>
        </w:rPr>
        <w:t xml:space="preserve">central to the mission of QQI. </w:t>
      </w:r>
      <w:r w:rsidR="000842CD" w:rsidRPr="002F6EB7">
        <w:rPr>
          <w:sz w:val="24"/>
          <w:szCs w:val="24"/>
        </w:rPr>
        <w:t xml:space="preserve"> However, while </w:t>
      </w:r>
      <w:r w:rsidRPr="002F6EB7">
        <w:rPr>
          <w:sz w:val="24"/>
          <w:szCs w:val="24"/>
        </w:rPr>
        <w:t xml:space="preserve">these </w:t>
      </w:r>
      <w:r w:rsidR="000842CD" w:rsidRPr="002F6EB7">
        <w:rPr>
          <w:sz w:val="24"/>
          <w:szCs w:val="24"/>
        </w:rPr>
        <w:t>ultimately benefit l</w:t>
      </w:r>
      <w:r w:rsidRPr="002F6EB7">
        <w:rPr>
          <w:sz w:val="24"/>
          <w:szCs w:val="24"/>
        </w:rPr>
        <w:t xml:space="preserve">earners they also benefit </w:t>
      </w:r>
      <w:r w:rsidR="000842CD" w:rsidRPr="002F6EB7">
        <w:rPr>
          <w:sz w:val="24"/>
          <w:szCs w:val="24"/>
        </w:rPr>
        <w:t xml:space="preserve">providers and also support </w:t>
      </w:r>
      <w:r w:rsidRPr="002F6EB7">
        <w:rPr>
          <w:sz w:val="24"/>
          <w:szCs w:val="24"/>
        </w:rPr>
        <w:t xml:space="preserve">society in general. </w:t>
      </w:r>
    </w:p>
    <w:p w:rsidR="002F6EB7" w:rsidRPr="002F6EB7" w:rsidRDefault="002F6EB7" w:rsidP="00CE40B8">
      <w:pPr>
        <w:pStyle w:val="ListParagraph"/>
        <w:jc w:val="both"/>
        <w:rPr>
          <w:sz w:val="24"/>
          <w:szCs w:val="24"/>
          <w:u w:val="single"/>
        </w:rPr>
      </w:pPr>
    </w:p>
    <w:p w:rsidR="00063C6D" w:rsidRPr="002F6EB7" w:rsidRDefault="00DF784E" w:rsidP="00CE40B8">
      <w:pPr>
        <w:pStyle w:val="ListParagraph"/>
        <w:numPr>
          <w:ilvl w:val="0"/>
          <w:numId w:val="11"/>
        </w:numPr>
        <w:jc w:val="both"/>
        <w:rPr>
          <w:sz w:val="24"/>
          <w:szCs w:val="24"/>
          <w:u w:val="single"/>
        </w:rPr>
      </w:pPr>
      <w:r w:rsidRPr="002F6EB7">
        <w:rPr>
          <w:b/>
          <w:i/>
          <w:sz w:val="24"/>
          <w:szCs w:val="24"/>
        </w:rPr>
        <w:t xml:space="preserve">Vision </w:t>
      </w:r>
      <w:r w:rsidR="006F3161" w:rsidRPr="002F6EB7">
        <w:rPr>
          <w:b/>
          <w:i/>
          <w:sz w:val="24"/>
          <w:szCs w:val="24"/>
        </w:rPr>
        <w:t xml:space="preserve">                                                                                                                                                        </w:t>
      </w:r>
      <w:r w:rsidRPr="002F6EB7">
        <w:rPr>
          <w:sz w:val="24"/>
          <w:szCs w:val="24"/>
        </w:rPr>
        <w:t xml:space="preserve">It is somewhat disappointing that </w:t>
      </w:r>
      <w:r w:rsidR="006F3161" w:rsidRPr="002F6EB7">
        <w:rPr>
          <w:sz w:val="24"/>
          <w:szCs w:val="24"/>
        </w:rPr>
        <w:t>reference to ‘</w:t>
      </w:r>
      <w:r w:rsidRPr="002F6EB7">
        <w:rPr>
          <w:i/>
          <w:sz w:val="24"/>
          <w:szCs w:val="24"/>
        </w:rPr>
        <w:t>flexible access to</w:t>
      </w:r>
      <w:r w:rsidR="006F3161" w:rsidRPr="002F6EB7">
        <w:rPr>
          <w:i/>
          <w:sz w:val="24"/>
          <w:szCs w:val="24"/>
        </w:rPr>
        <w:t>’</w:t>
      </w:r>
      <w:r w:rsidRPr="002F6EB7">
        <w:rPr>
          <w:sz w:val="24"/>
          <w:szCs w:val="24"/>
        </w:rPr>
        <w:t xml:space="preserve"> high quality education and training opportunities is not integrated into the vision statement. This is a central plank of the </w:t>
      </w:r>
      <w:r w:rsidR="006F3161" w:rsidRPr="002F6EB7">
        <w:rPr>
          <w:sz w:val="24"/>
          <w:szCs w:val="24"/>
        </w:rPr>
        <w:t>National Framework of Qualifications (</w:t>
      </w:r>
      <w:r w:rsidRPr="002F6EB7">
        <w:rPr>
          <w:sz w:val="24"/>
          <w:szCs w:val="24"/>
        </w:rPr>
        <w:t>NFQ</w:t>
      </w:r>
      <w:r w:rsidR="006F3161" w:rsidRPr="002F6EB7">
        <w:rPr>
          <w:sz w:val="24"/>
          <w:szCs w:val="24"/>
        </w:rPr>
        <w:t>)</w:t>
      </w:r>
      <w:r w:rsidRPr="002F6EB7">
        <w:rPr>
          <w:sz w:val="24"/>
          <w:szCs w:val="24"/>
        </w:rPr>
        <w:t xml:space="preserve"> of which the QQI is custodian</w:t>
      </w:r>
      <w:r w:rsidR="00063C6D" w:rsidRPr="002F6EB7">
        <w:rPr>
          <w:sz w:val="24"/>
          <w:szCs w:val="24"/>
        </w:rPr>
        <w:t xml:space="preserve">. </w:t>
      </w:r>
    </w:p>
    <w:p w:rsidR="002F6EB7" w:rsidRPr="002F6EB7" w:rsidRDefault="002F6EB7" w:rsidP="00CE40B8">
      <w:pPr>
        <w:pStyle w:val="ListParagraph"/>
        <w:jc w:val="both"/>
        <w:rPr>
          <w:sz w:val="24"/>
          <w:szCs w:val="24"/>
        </w:rPr>
      </w:pPr>
    </w:p>
    <w:p w:rsidR="00546919" w:rsidRPr="002F6EB7" w:rsidRDefault="00063C6D" w:rsidP="00CE40B8">
      <w:pPr>
        <w:pStyle w:val="ListParagraph"/>
        <w:numPr>
          <w:ilvl w:val="0"/>
          <w:numId w:val="11"/>
        </w:numPr>
        <w:jc w:val="both"/>
        <w:rPr>
          <w:sz w:val="24"/>
          <w:szCs w:val="24"/>
        </w:rPr>
      </w:pPr>
      <w:r w:rsidRPr="002F6EB7">
        <w:rPr>
          <w:b/>
          <w:i/>
          <w:sz w:val="24"/>
          <w:szCs w:val="24"/>
        </w:rPr>
        <w:t>Values</w:t>
      </w:r>
      <w:r w:rsidR="00305BB6" w:rsidRPr="002F6EB7">
        <w:rPr>
          <w:b/>
          <w:sz w:val="24"/>
          <w:szCs w:val="24"/>
        </w:rPr>
        <w:t xml:space="preserve"> </w:t>
      </w:r>
      <w:r w:rsidR="002C1942" w:rsidRPr="002F6EB7">
        <w:rPr>
          <w:b/>
          <w:sz w:val="24"/>
          <w:szCs w:val="24"/>
        </w:rPr>
        <w:t xml:space="preserve">                                                                                                                                                            </w:t>
      </w:r>
      <w:r w:rsidRPr="002F6EB7">
        <w:rPr>
          <w:i/>
          <w:sz w:val="24"/>
          <w:szCs w:val="24"/>
        </w:rPr>
        <w:t>Learner centredness</w:t>
      </w:r>
      <w:r w:rsidRPr="002F6EB7">
        <w:rPr>
          <w:sz w:val="24"/>
          <w:szCs w:val="24"/>
        </w:rPr>
        <w:t xml:space="preserve"> and meeting learner needs are legitimate and expected core values. However, it is providers with which the QQI will work closely with to ensure these values are embraced. Therefore, it is somewhat remiss not to refer in some manner to strong, effective </w:t>
      </w:r>
      <w:r w:rsidR="006F3161" w:rsidRPr="002F6EB7">
        <w:rPr>
          <w:sz w:val="24"/>
          <w:szCs w:val="24"/>
        </w:rPr>
        <w:t>an</w:t>
      </w:r>
      <w:r w:rsidRPr="002F6EB7">
        <w:rPr>
          <w:sz w:val="24"/>
          <w:szCs w:val="24"/>
        </w:rPr>
        <w:t xml:space="preserve">d healthy relationships with providers in this section. </w:t>
      </w:r>
    </w:p>
    <w:p w:rsidR="00546919" w:rsidRPr="002F6EB7" w:rsidRDefault="00305BB6" w:rsidP="00CE40B8">
      <w:pPr>
        <w:pStyle w:val="ListParagraph"/>
        <w:jc w:val="both"/>
        <w:rPr>
          <w:sz w:val="24"/>
          <w:szCs w:val="24"/>
        </w:rPr>
      </w:pPr>
      <w:r w:rsidRPr="002F6EB7">
        <w:rPr>
          <w:i/>
          <w:sz w:val="24"/>
          <w:szCs w:val="24"/>
        </w:rPr>
        <w:t>Collaboration:</w:t>
      </w:r>
      <w:r w:rsidRPr="002F6EB7">
        <w:rPr>
          <w:sz w:val="24"/>
          <w:szCs w:val="24"/>
        </w:rPr>
        <w:t xml:space="preserve"> </w:t>
      </w:r>
      <w:r w:rsidR="00546919" w:rsidRPr="002F6EB7">
        <w:rPr>
          <w:sz w:val="24"/>
          <w:szCs w:val="24"/>
        </w:rPr>
        <w:t xml:space="preserve">Reference to collaboration is valid but weak as currently set out; working with individuals </w:t>
      </w:r>
      <w:r w:rsidR="00C773CF" w:rsidRPr="002F6EB7">
        <w:rPr>
          <w:sz w:val="24"/>
          <w:szCs w:val="24"/>
        </w:rPr>
        <w:t>or particular</w:t>
      </w:r>
      <w:r w:rsidR="00546919" w:rsidRPr="002F6EB7">
        <w:rPr>
          <w:sz w:val="24"/>
          <w:szCs w:val="24"/>
        </w:rPr>
        <w:t xml:space="preserve"> agencies or bodies will not in itself lead to collaborative practices. </w:t>
      </w:r>
    </w:p>
    <w:p w:rsidR="006521EF" w:rsidRPr="002F6EB7" w:rsidRDefault="00063C6D" w:rsidP="00CE40B8">
      <w:pPr>
        <w:pStyle w:val="ListParagraph"/>
        <w:jc w:val="both"/>
        <w:rPr>
          <w:sz w:val="24"/>
          <w:szCs w:val="24"/>
        </w:rPr>
      </w:pPr>
      <w:r w:rsidRPr="002F6EB7">
        <w:rPr>
          <w:i/>
          <w:sz w:val="24"/>
          <w:szCs w:val="24"/>
        </w:rPr>
        <w:t>Integrity</w:t>
      </w:r>
      <w:r w:rsidR="00305BB6" w:rsidRPr="002F6EB7">
        <w:rPr>
          <w:i/>
          <w:sz w:val="24"/>
          <w:szCs w:val="24"/>
        </w:rPr>
        <w:t>:</w:t>
      </w:r>
      <w:r w:rsidR="00305BB6" w:rsidRPr="002F6EB7">
        <w:rPr>
          <w:sz w:val="24"/>
          <w:szCs w:val="24"/>
        </w:rPr>
        <w:t xml:space="preserve"> </w:t>
      </w:r>
      <w:r w:rsidR="00546919" w:rsidRPr="002F6EB7">
        <w:rPr>
          <w:sz w:val="24"/>
          <w:szCs w:val="24"/>
        </w:rPr>
        <w:t xml:space="preserve"> </w:t>
      </w:r>
      <w:r w:rsidR="00305BB6" w:rsidRPr="002F6EB7">
        <w:rPr>
          <w:sz w:val="24"/>
          <w:szCs w:val="24"/>
        </w:rPr>
        <w:t>H</w:t>
      </w:r>
      <w:r w:rsidR="00546919" w:rsidRPr="002F6EB7">
        <w:rPr>
          <w:sz w:val="24"/>
          <w:szCs w:val="24"/>
        </w:rPr>
        <w:t xml:space="preserve">onesty and reliability </w:t>
      </w:r>
      <w:r w:rsidR="00305BB6" w:rsidRPr="002F6EB7">
        <w:rPr>
          <w:sz w:val="24"/>
          <w:szCs w:val="24"/>
        </w:rPr>
        <w:t xml:space="preserve">could usefully </w:t>
      </w:r>
      <w:r w:rsidR="00546919" w:rsidRPr="002F6EB7">
        <w:rPr>
          <w:sz w:val="24"/>
          <w:szCs w:val="24"/>
        </w:rPr>
        <w:t xml:space="preserve">be included in the brief explanation. </w:t>
      </w:r>
      <w:r w:rsidR="00DF784E" w:rsidRPr="002F6EB7">
        <w:rPr>
          <w:sz w:val="24"/>
          <w:szCs w:val="24"/>
        </w:rPr>
        <w:t xml:space="preserve"> </w:t>
      </w:r>
      <w:r w:rsidR="001F397A" w:rsidRPr="002F6EB7">
        <w:rPr>
          <w:sz w:val="24"/>
          <w:szCs w:val="24"/>
        </w:rPr>
        <w:t xml:space="preserve">  </w:t>
      </w:r>
      <w:r w:rsidR="006521EF" w:rsidRPr="002F6EB7">
        <w:rPr>
          <w:sz w:val="24"/>
          <w:szCs w:val="24"/>
        </w:rPr>
        <w:t xml:space="preserve">    </w:t>
      </w:r>
    </w:p>
    <w:p w:rsidR="002F6EB7" w:rsidRPr="002F6EB7" w:rsidRDefault="002F6EB7" w:rsidP="00CE40B8">
      <w:pPr>
        <w:pStyle w:val="ListParagraph"/>
        <w:jc w:val="both"/>
        <w:rPr>
          <w:sz w:val="24"/>
          <w:szCs w:val="24"/>
        </w:rPr>
      </w:pPr>
    </w:p>
    <w:p w:rsidR="000B34DA" w:rsidRPr="002F6EB7" w:rsidRDefault="002C1942" w:rsidP="00CE40B8">
      <w:pPr>
        <w:pStyle w:val="ListParagraph"/>
        <w:numPr>
          <w:ilvl w:val="0"/>
          <w:numId w:val="11"/>
        </w:numPr>
        <w:jc w:val="both"/>
        <w:rPr>
          <w:sz w:val="24"/>
          <w:szCs w:val="24"/>
        </w:rPr>
      </w:pPr>
      <w:r w:rsidRPr="002F6EB7">
        <w:rPr>
          <w:b/>
          <w:i/>
          <w:sz w:val="24"/>
          <w:szCs w:val="24"/>
        </w:rPr>
        <w:t>Goals</w:t>
      </w:r>
      <w:r w:rsidR="006F3161" w:rsidRPr="002F6EB7">
        <w:rPr>
          <w:b/>
          <w:i/>
          <w:sz w:val="24"/>
          <w:szCs w:val="24"/>
        </w:rPr>
        <w:t xml:space="preserve"> </w:t>
      </w:r>
      <w:r w:rsidR="006F3161" w:rsidRPr="002F6EB7">
        <w:rPr>
          <w:b/>
          <w:i/>
          <w:sz w:val="24"/>
          <w:szCs w:val="24"/>
          <w:u w:val="single"/>
        </w:rPr>
        <w:t xml:space="preserve">                                                                                                                                                      </w:t>
      </w:r>
      <w:r w:rsidRPr="002F6EB7">
        <w:rPr>
          <w:sz w:val="24"/>
          <w:szCs w:val="24"/>
        </w:rPr>
        <w:t xml:space="preserve">TUI </w:t>
      </w:r>
      <w:r w:rsidR="000754F0" w:rsidRPr="002F6EB7">
        <w:rPr>
          <w:sz w:val="24"/>
          <w:szCs w:val="24"/>
        </w:rPr>
        <w:t xml:space="preserve">questions </w:t>
      </w:r>
      <w:r w:rsidRPr="002F6EB7">
        <w:rPr>
          <w:sz w:val="24"/>
          <w:szCs w:val="24"/>
        </w:rPr>
        <w:t>why the N</w:t>
      </w:r>
      <w:r w:rsidR="006F3161" w:rsidRPr="002F6EB7">
        <w:rPr>
          <w:sz w:val="24"/>
          <w:szCs w:val="24"/>
        </w:rPr>
        <w:t>FQ</w:t>
      </w:r>
      <w:r w:rsidRPr="002F6EB7">
        <w:rPr>
          <w:sz w:val="24"/>
          <w:szCs w:val="24"/>
        </w:rPr>
        <w:t xml:space="preserve"> </w:t>
      </w:r>
      <w:r w:rsidR="000754F0" w:rsidRPr="002F6EB7">
        <w:rPr>
          <w:sz w:val="24"/>
          <w:szCs w:val="24"/>
        </w:rPr>
        <w:t xml:space="preserve">is </w:t>
      </w:r>
      <w:r w:rsidRPr="002F6EB7">
        <w:rPr>
          <w:sz w:val="24"/>
          <w:szCs w:val="24"/>
        </w:rPr>
        <w:t xml:space="preserve">flagged as </w:t>
      </w:r>
      <w:r w:rsidR="000754F0" w:rsidRPr="002F6EB7">
        <w:rPr>
          <w:sz w:val="24"/>
          <w:szCs w:val="24"/>
          <w:u w:val="single"/>
        </w:rPr>
        <w:t>the</w:t>
      </w:r>
      <w:r w:rsidR="000754F0" w:rsidRPr="002F6EB7">
        <w:rPr>
          <w:sz w:val="24"/>
          <w:szCs w:val="24"/>
        </w:rPr>
        <w:t xml:space="preserve"> </w:t>
      </w:r>
      <w:r w:rsidRPr="002F6EB7">
        <w:rPr>
          <w:sz w:val="24"/>
          <w:szCs w:val="24"/>
        </w:rPr>
        <w:t>central organising feature for establishing QQI policies and processes</w:t>
      </w:r>
      <w:r w:rsidR="000754F0" w:rsidRPr="002F6EB7">
        <w:rPr>
          <w:sz w:val="24"/>
          <w:szCs w:val="24"/>
        </w:rPr>
        <w:t xml:space="preserve"> as opposed to one of a number of features</w:t>
      </w:r>
      <w:r w:rsidRPr="002F6EB7">
        <w:rPr>
          <w:sz w:val="24"/>
          <w:szCs w:val="24"/>
        </w:rPr>
        <w:t xml:space="preserve">. </w:t>
      </w:r>
      <w:r w:rsidR="00C773CF" w:rsidRPr="002F6EB7">
        <w:rPr>
          <w:sz w:val="24"/>
          <w:szCs w:val="24"/>
        </w:rPr>
        <w:t>The NQF</w:t>
      </w:r>
      <w:r w:rsidRPr="002F6EB7">
        <w:rPr>
          <w:sz w:val="24"/>
          <w:szCs w:val="24"/>
        </w:rPr>
        <w:t xml:space="preserve"> primarily represents the levels of qualifications and the knowledge, skills and competence associated with each level of qualification</w:t>
      </w:r>
      <w:r w:rsidR="006F3161" w:rsidRPr="002F6EB7">
        <w:rPr>
          <w:sz w:val="24"/>
          <w:szCs w:val="24"/>
        </w:rPr>
        <w:t>;</w:t>
      </w:r>
      <w:r w:rsidR="000754F0" w:rsidRPr="002F6EB7">
        <w:rPr>
          <w:sz w:val="24"/>
          <w:szCs w:val="24"/>
        </w:rPr>
        <w:t xml:space="preserve"> not </w:t>
      </w:r>
      <w:r w:rsidR="006F3161" w:rsidRPr="002F6EB7">
        <w:rPr>
          <w:sz w:val="24"/>
          <w:szCs w:val="24"/>
        </w:rPr>
        <w:t xml:space="preserve">the </w:t>
      </w:r>
      <w:r w:rsidR="000754F0" w:rsidRPr="002F6EB7">
        <w:rPr>
          <w:sz w:val="24"/>
          <w:szCs w:val="24"/>
        </w:rPr>
        <w:t>quality assurance measures and processes</w:t>
      </w:r>
      <w:r w:rsidR="006F3161" w:rsidRPr="002F6EB7">
        <w:rPr>
          <w:sz w:val="24"/>
          <w:szCs w:val="24"/>
        </w:rPr>
        <w:t xml:space="preserve"> attaching to it</w:t>
      </w:r>
      <w:r w:rsidR="00A50C8C" w:rsidRPr="002F6EB7">
        <w:rPr>
          <w:sz w:val="24"/>
          <w:szCs w:val="24"/>
        </w:rPr>
        <w:t>s</w:t>
      </w:r>
      <w:r w:rsidR="006F3161" w:rsidRPr="002F6EB7">
        <w:rPr>
          <w:sz w:val="24"/>
          <w:szCs w:val="24"/>
        </w:rPr>
        <w:t xml:space="preserve"> implementation</w:t>
      </w:r>
      <w:r w:rsidR="000754F0" w:rsidRPr="002F6EB7">
        <w:rPr>
          <w:sz w:val="24"/>
          <w:szCs w:val="24"/>
        </w:rPr>
        <w:t xml:space="preserve">.      </w:t>
      </w:r>
      <w:r w:rsidRPr="002F6EB7">
        <w:rPr>
          <w:sz w:val="24"/>
          <w:szCs w:val="24"/>
        </w:rPr>
        <w:t xml:space="preserve">  </w:t>
      </w:r>
      <w:r w:rsidR="00D25FC8" w:rsidRPr="002F6EB7">
        <w:rPr>
          <w:sz w:val="24"/>
          <w:szCs w:val="24"/>
        </w:rPr>
        <w:t xml:space="preserve">  </w:t>
      </w:r>
      <w:r w:rsidR="00443F9C" w:rsidRPr="002F6EB7">
        <w:rPr>
          <w:sz w:val="24"/>
          <w:szCs w:val="24"/>
        </w:rPr>
        <w:t xml:space="preserve">    </w:t>
      </w:r>
    </w:p>
    <w:p w:rsidR="00E739A9" w:rsidRDefault="000754F0" w:rsidP="00CE40B8">
      <w:pPr>
        <w:pStyle w:val="ListParagraph"/>
        <w:jc w:val="both"/>
        <w:rPr>
          <w:sz w:val="24"/>
          <w:szCs w:val="24"/>
        </w:rPr>
      </w:pPr>
      <w:r w:rsidRPr="002F6EB7">
        <w:rPr>
          <w:sz w:val="24"/>
          <w:szCs w:val="24"/>
        </w:rPr>
        <w:t>While the needs of learners</w:t>
      </w:r>
      <w:r w:rsidR="00E739A9" w:rsidRPr="002F6EB7">
        <w:rPr>
          <w:sz w:val="24"/>
          <w:szCs w:val="24"/>
        </w:rPr>
        <w:t xml:space="preserve"> should be a priority, the needs of and relations with providers should also be a priority. Some re-wording of goals 2 and 3 is advised to capture this.</w:t>
      </w:r>
    </w:p>
    <w:p w:rsidR="00CE40B8" w:rsidRPr="002F6EB7" w:rsidRDefault="00CE40B8" w:rsidP="00CE40B8">
      <w:pPr>
        <w:pStyle w:val="ListParagraph"/>
        <w:jc w:val="both"/>
        <w:rPr>
          <w:sz w:val="24"/>
          <w:szCs w:val="24"/>
        </w:rPr>
      </w:pPr>
    </w:p>
    <w:p w:rsidR="00E739A9" w:rsidRPr="002F6EB7" w:rsidRDefault="00F075B0" w:rsidP="00CE40B8">
      <w:pPr>
        <w:pStyle w:val="ListParagraph"/>
        <w:jc w:val="both"/>
        <w:rPr>
          <w:sz w:val="24"/>
          <w:szCs w:val="24"/>
        </w:rPr>
      </w:pPr>
      <w:r w:rsidRPr="002F6EB7">
        <w:rPr>
          <w:sz w:val="24"/>
          <w:szCs w:val="24"/>
        </w:rPr>
        <w:t>G</w:t>
      </w:r>
      <w:r w:rsidR="00E739A9" w:rsidRPr="002F6EB7">
        <w:rPr>
          <w:sz w:val="24"/>
          <w:szCs w:val="24"/>
        </w:rPr>
        <w:t>o</w:t>
      </w:r>
      <w:r w:rsidRPr="002F6EB7">
        <w:rPr>
          <w:sz w:val="24"/>
          <w:szCs w:val="24"/>
        </w:rPr>
        <w:t>a</w:t>
      </w:r>
      <w:r w:rsidR="00E739A9" w:rsidRPr="002F6EB7">
        <w:rPr>
          <w:sz w:val="24"/>
          <w:szCs w:val="24"/>
        </w:rPr>
        <w:t xml:space="preserve">l 5 could be usefully expanded to include providers as well as the public. </w:t>
      </w:r>
    </w:p>
    <w:p w:rsidR="002F6EB7" w:rsidRPr="002F6EB7" w:rsidRDefault="002F6EB7" w:rsidP="00CE40B8">
      <w:pPr>
        <w:pStyle w:val="ListParagraph"/>
        <w:jc w:val="both"/>
        <w:rPr>
          <w:sz w:val="24"/>
          <w:szCs w:val="24"/>
        </w:rPr>
      </w:pPr>
    </w:p>
    <w:p w:rsidR="00E739A9" w:rsidRPr="002F6EB7" w:rsidRDefault="00E739A9" w:rsidP="00CE40B8">
      <w:pPr>
        <w:pStyle w:val="ListParagraph"/>
        <w:numPr>
          <w:ilvl w:val="0"/>
          <w:numId w:val="11"/>
        </w:numPr>
        <w:jc w:val="both"/>
        <w:rPr>
          <w:sz w:val="24"/>
          <w:szCs w:val="24"/>
        </w:rPr>
      </w:pPr>
      <w:r w:rsidRPr="002F6EB7">
        <w:rPr>
          <w:b/>
          <w:i/>
          <w:sz w:val="24"/>
          <w:szCs w:val="24"/>
        </w:rPr>
        <w:t xml:space="preserve">Enablers </w:t>
      </w:r>
      <w:r w:rsidR="006F3161" w:rsidRPr="002F6EB7">
        <w:rPr>
          <w:b/>
          <w:i/>
          <w:sz w:val="24"/>
          <w:szCs w:val="24"/>
        </w:rPr>
        <w:t xml:space="preserve">                                                                                                                                            </w:t>
      </w:r>
      <w:r w:rsidRPr="002F6EB7">
        <w:rPr>
          <w:sz w:val="24"/>
          <w:szCs w:val="24"/>
        </w:rPr>
        <w:t xml:space="preserve">Under governance reference to the development of mechanisms and committee structures to engage effectively with stakeholders is </w:t>
      </w:r>
      <w:r w:rsidR="00C773CF" w:rsidRPr="002F6EB7">
        <w:rPr>
          <w:sz w:val="24"/>
          <w:szCs w:val="24"/>
        </w:rPr>
        <w:t>welcome and</w:t>
      </w:r>
      <w:r w:rsidRPr="002F6EB7">
        <w:rPr>
          <w:sz w:val="24"/>
          <w:szCs w:val="24"/>
        </w:rPr>
        <w:t xml:space="preserve"> </w:t>
      </w:r>
      <w:r w:rsidR="00A50C8C" w:rsidRPr="002F6EB7">
        <w:rPr>
          <w:sz w:val="24"/>
          <w:szCs w:val="24"/>
        </w:rPr>
        <w:t xml:space="preserve">TUI </w:t>
      </w:r>
      <w:r w:rsidRPr="002F6EB7">
        <w:rPr>
          <w:sz w:val="24"/>
          <w:szCs w:val="24"/>
        </w:rPr>
        <w:t xml:space="preserve">looks forward to further engagement in this regard in the near future. This will be critical in embracing stakeholder expertise, knowledge and ideas into draft policies for deeper consultation. TUI advises that a commitment </w:t>
      </w:r>
      <w:r w:rsidR="00A50C8C" w:rsidRPr="002F6EB7">
        <w:rPr>
          <w:sz w:val="24"/>
          <w:szCs w:val="24"/>
        </w:rPr>
        <w:t xml:space="preserve">to </w:t>
      </w:r>
      <w:r w:rsidRPr="002F6EB7">
        <w:rPr>
          <w:sz w:val="24"/>
          <w:szCs w:val="24"/>
        </w:rPr>
        <w:t xml:space="preserve">effective engagement be </w:t>
      </w:r>
      <w:r w:rsidR="00A50C8C" w:rsidRPr="002F6EB7">
        <w:rPr>
          <w:sz w:val="24"/>
          <w:szCs w:val="24"/>
        </w:rPr>
        <w:t xml:space="preserve">further </w:t>
      </w:r>
      <w:r w:rsidRPr="002F6EB7">
        <w:rPr>
          <w:sz w:val="24"/>
          <w:szCs w:val="24"/>
        </w:rPr>
        <w:t xml:space="preserve">strengthened by including this in the list under the column on </w:t>
      </w:r>
      <w:r w:rsidR="00A50C8C" w:rsidRPr="002F6EB7">
        <w:rPr>
          <w:sz w:val="24"/>
          <w:szCs w:val="24"/>
        </w:rPr>
        <w:t>P</w:t>
      </w:r>
      <w:r w:rsidRPr="002F6EB7">
        <w:rPr>
          <w:sz w:val="24"/>
          <w:szCs w:val="24"/>
        </w:rPr>
        <w:t xml:space="preserve">eople and </w:t>
      </w:r>
      <w:r w:rsidR="00A50C8C" w:rsidRPr="002F6EB7">
        <w:rPr>
          <w:sz w:val="24"/>
          <w:szCs w:val="24"/>
        </w:rPr>
        <w:t>S</w:t>
      </w:r>
      <w:r w:rsidRPr="002F6EB7">
        <w:rPr>
          <w:sz w:val="24"/>
          <w:szCs w:val="24"/>
        </w:rPr>
        <w:t>tructures</w:t>
      </w:r>
      <w:r w:rsidR="00A50C8C" w:rsidRPr="002F6EB7">
        <w:rPr>
          <w:sz w:val="24"/>
          <w:szCs w:val="24"/>
        </w:rPr>
        <w:t xml:space="preserve"> (page 5)</w:t>
      </w:r>
      <w:r w:rsidRPr="002F6EB7">
        <w:rPr>
          <w:sz w:val="24"/>
          <w:szCs w:val="24"/>
        </w:rPr>
        <w:t xml:space="preserve">.  </w:t>
      </w:r>
    </w:p>
    <w:p w:rsidR="002F6EB7" w:rsidRDefault="002F6EB7" w:rsidP="00CE40B8">
      <w:pPr>
        <w:pStyle w:val="ListParagraph"/>
        <w:jc w:val="both"/>
        <w:rPr>
          <w:sz w:val="24"/>
          <w:szCs w:val="24"/>
        </w:rPr>
      </w:pPr>
    </w:p>
    <w:p w:rsidR="00E739A9" w:rsidRPr="002F6EB7" w:rsidRDefault="00E739A9" w:rsidP="00CE40B8">
      <w:pPr>
        <w:pStyle w:val="ListParagraph"/>
        <w:jc w:val="both"/>
        <w:rPr>
          <w:sz w:val="24"/>
          <w:szCs w:val="24"/>
        </w:rPr>
      </w:pPr>
      <w:r w:rsidRPr="002F6EB7">
        <w:rPr>
          <w:sz w:val="24"/>
          <w:szCs w:val="24"/>
        </w:rPr>
        <w:lastRenderedPageBreak/>
        <w:t xml:space="preserve">Effective mechanisms for meaningful communication, stakeholder engagement and consultation </w:t>
      </w:r>
      <w:r w:rsidR="00C773CF" w:rsidRPr="002F6EB7">
        <w:rPr>
          <w:sz w:val="24"/>
          <w:szCs w:val="24"/>
        </w:rPr>
        <w:t>will avoid</w:t>
      </w:r>
      <w:r w:rsidRPr="002F6EB7">
        <w:rPr>
          <w:sz w:val="24"/>
          <w:szCs w:val="24"/>
        </w:rPr>
        <w:t xml:space="preserve"> misunderstandings about how future policies were framed and agreed. They will also ensure early notification to key stakeholders about the timing and timelines for submissions in res</w:t>
      </w:r>
      <w:r w:rsidR="00A50C8C" w:rsidRPr="002F6EB7">
        <w:rPr>
          <w:sz w:val="24"/>
          <w:szCs w:val="24"/>
        </w:rPr>
        <w:t xml:space="preserve">pect </w:t>
      </w:r>
      <w:r w:rsidR="00C773CF" w:rsidRPr="002F6EB7">
        <w:rPr>
          <w:sz w:val="24"/>
          <w:szCs w:val="24"/>
        </w:rPr>
        <w:t>of policies</w:t>
      </w:r>
      <w:r w:rsidRPr="002F6EB7">
        <w:rPr>
          <w:sz w:val="24"/>
          <w:szCs w:val="24"/>
        </w:rPr>
        <w:t xml:space="preserve"> and procedures under development. </w:t>
      </w:r>
    </w:p>
    <w:p w:rsidR="002F6EB7" w:rsidRDefault="002F6EB7" w:rsidP="00CE40B8">
      <w:pPr>
        <w:pStyle w:val="ListParagraph"/>
        <w:jc w:val="both"/>
        <w:rPr>
          <w:sz w:val="24"/>
          <w:szCs w:val="24"/>
        </w:rPr>
      </w:pPr>
    </w:p>
    <w:p w:rsidR="00CE40B8" w:rsidRPr="00CE40B8" w:rsidRDefault="00E739A9" w:rsidP="00CE40B8">
      <w:pPr>
        <w:pStyle w:val="ListParagraph"/>
        <w:numPr>
          <w:ilvl w:val="0"/>
          <w:numId w:val="11"/>
        </w:numPr>
        <w:rPr>
          <w:sz w:val="24"/>
          <w:szCs w:val="24"/>
        </w:rPr>
      </w:pPr>
      <w:r w:rsidRPr="002F6EB7">
        <w:rPr>
          <w:b/>
          <w:i/>
          <w:sz w:val="24"/>
          <w:szCs w:val="24"/>
        </w:rPr>
        <w:t>Challenges</w:t>
      </w:r>
      <w:r w:rsidR="00CE40B8">
        <w:rPr>
          <w:b/>
          <w:i/>
          <w:sz w:val="24"/>
          <w:szCs w:val="24"/>
        </w:rPr>
        <w:t xml:space="preserve"> </w:t>
      </w:r>
      <w:r w:rsidRPr="002F6EB7">
        <w:rPr>
          <w:b/>
          <w:i/>
          <w:sz w:val="24"/>
          <w:szCs w:val="24"/>
        </w:rPr>
        <w:t>and</w:t>
      </w:r>
      <w:r w:rsidR="00CE40B8">
        <w:rPr>
          <w:b/>
          <w:i/>
          <w:sz w:val="24"/>
          <w:szCs w:val="24"/>
        </w:rPr>
        <w:t xml:space="preserve"> </w:t>
      </w:r>
      <w:r w:rsidRPr="002F6EB7">
        <w:rPr>
          <w:b/>
          <w:i/>
          <w:sz w:val="24"/>
          <w:szCs w:val="24"/>
        </w:rPr>
        <w:t>Opportunities</w:t>
      </w:r>
    </w:p>
    <w:p w:rsidR="00E739A9" w:rsidRPr="002F6EB7" w:rsidRDefault="00F2435D" w:rsidP="00CE40B8">
      <w:pPr>
        <w:pStyle w:val="ListParagraph"/>
        <w:jc w:val="both"/>
        <w:rPr>
          <w:sz w:val="24"/>
          <w:szCs w:val="24"/>
        </w:rPr>
      </w:pPr>
      <w:r w:rsidRPr="002F6EB7">
        <w:rPr>
          <w:sz w:val="24"/>
          <w:szCs w:val="24"/>
        </w:rPr>
        <w:t>As set out on page 6 the challenges and opportunities reflect the current and immediate short term context with respect to structural changes</w:t>
      </w:r>
      <w:r w:rsidR="00F55D74" w:rsidRPr="002F6EB7">
        <w:rPr>
          <w:sz w:val="24"/>
          <w:szCs w:val="24"/>
        </w:rPr>
        <w:t xml:space="preserve">, </w:t>
      </w:r>
      <w:r w:rsidRPr="002F6EB7">
        <w:rPr>
          <w:sz w:val="24"/>
          <w:szCs w:val="24"/>
        </w:rPr>
        <w:t>national priorities</w:t>
      </w:r>
      <w:r w:rsidR="00F55D74" w:rsidRPr="002F6EB7">
        <w:rPr>
          <w:sz w:val="24"/>
          <w:szCs w:val="24"/>
        </w:rPr>
        <w:t xml:space="preserve"> and constraints in the </w:t>
      </w:r>
      <w:r w:rsidRPr="002F6EB7">
        <w:rPr>
          <w:sz w:val="24"/>
          <w:szCs w:val="24"/>
        </w:rPr>
        <w:t>public service</w:t>
      </w:r>
      <w:r w:rsidR="00F55D74" w:rsidRPr="002F6EB7">
        <w:rPr>
          <w:sz w:val="24"/>
          <w:szCs w:val="24"/>
        </w:rPr>
        <w:t xml:space="preserve">. </w:t>
      </w:r>
      <w:r w:rsidRPr="002F6EB7">
        <w:rPr>
          <w:sz w:val="24"/>
          <w:szCs w:val="24"/>
        </w:rPr>
        <w:t xml:space="preserve"> </w:t>
      </w:r>
      <w:r w:rsidR="00E739A9" w:rsidRPr="002F6EB7">
        <w:rPr>
          <w:sz w:val="24"/>
          <w:szCs w:val="24"/>
        </w:rPr>
        <w:t xml:space="preserve"> </w:t>
      </w:r>
    </w:p>
    <w:p w:rsidR="002F6EB7" w:rsidRPr="002F6EB7" w:rsidRDefault="002F6EB7" w:rsidP="00CE40B8">
      <w:pPr>
        <w:pStyle w:val="ListParagraph"/>
        <w:jc w:val="both"/>
        <w:rPr>
          <w:sz w:val="24"/>
          <w:szCs w:val="24"/>
        </w:rPr>
      </w:pPr>
    </w:p>
    <w:p w:rsidR="00CE40B8" w:rsidRPr="00CE40B8" w:rsidRDefault="00F075B0" w:rsidP="00CE40B8">
      <w:pPr>
        <w:pStyle w:val="ListParagraph"/>
        <w:numPr>
          <w:ilvl w:val="0"/>
          <w:numId w:val="11"/>
        </w:numPr>
        <w:jc w:val="both"/>
        <w:rPr>
          <w:sz w:val="24"/>
          <w:szCs w:val="24"/>
        </w:rPr>
      </w:pPr>
      <w:r w:rsidRPr="002F6EB7">
        <w:rPr>
          <w:b/>
          <w:i/>
          <w:sz w:val="24"/>
          <w:szCs w:val="24"/>
        </w:rPr>
        <w:t>Priorities in Relation to Goals</w:t>
      </w:r>
      <w:r w:rsidR="00A50C8C" w:rsidRPr="002F6EB7">
        <w:rPr>
          <w:b/>
          <w:i/>
          <w:sz w:val="24"/>
          <w:szCs w:val="24"/>
        </w:rPr>
        <w:t xml:space="preserve">                                                                                                        </w:t>
      </w:r>
    </w:p>
    <w:p w:rsidR="000754F0" w:rsidRDefault="00F075B0" w:rsidP="00CE40B8">
      <w:pPr>
        <w:pStyle w:val="ListParagraph"/>
        <w:jc w:val="both"/>
        <w:rPr>
          <w:sz w:val="24"/>
          <w:szCs w:val="24"/>
        </w:rPr>
      </w:pPr>
      <w:r w:rsidRPr="002F6EB7">
        <w:rPr>
          <w:sz w:val="24"/>
          <w:szCs w:val="24"/>
        </w:rPr>
        <w:t xml:space="preserve">While the range of priorities set out in pages 8 -11 are extensive and comprehensive TUI believes </w:t>
      </w:r>
      <w:r w:rsidR="00940750" w:rsidRPr="002F6EB7">
        <w:rPr>
          <w:sz w:val="24"/>
          <w:szCs w:val="24"/>
        </w:rPr>
        <w:t xml:space="preserve">it would be remiss of QQI if particular attention  is not made given to the </w:t>
      </w:r>
      <w:r w:rsidRPr="002F6EB7">
        <w:rPr>
          <w:sz w:val="24"/>
          <w:szCs w:val="24"/>
        </w:rPr>
        <w:t xml:space="preserve">provision of guidelines for the recognition of prior learning </w:t>
      </w:r>
      <w:r w:rsidR="00940750" w:rsidRPr="002F6EB7">
        <w:rPr>
          <w:sz w:val="24"/>
          <w:szCs w:val="24"/>
        </w:rPr>
        <w:t xml:space="preserve">(RPL). </w:t>
      </w:r>
      <w:r w:rsidRPr="002F6EB7">
        <w:rPr>
          <w:sz w:val="24"/>
          <w:szCs w:val="24"/>
        </w:rPr>
        <w:t xml:space="preserve">At </w:t>
      </w:r>
      <w:r w:rsidR="00C773CF" w:rsidRPr="002F6EB7">
        <w:rPr>
          <w:sz w:val="24"/>
          <w:szCs w:val="24"/>
        </w:rPr>
        <w:t>a minimum</w:t>
      </w:r>
      <w:r w:rsidRPr="002F6EB7">
        <w:rPr>
          <w:sz w:val="24"/>
          <w:szCs w:val="24"/>
        </w:rPr>
        <w:t xml:space="preserve"> RPL should be referenced </w:t>
      </w:r>
      <w:r w:rsidR="00940750" w:rsidRPr="002F6EB7">
        <w:rPr>
          <w:sz w:val="24"/>
          <w:szCs w:val="24"/>
        </w:rPr>
        <w:t xml:space="preserve">under the priority to </w:t>
      </w:r>
      <w:r w:rsidR="00C773CF" w:rsidRPr="002F6EB7">
        <w:rPr>
          <w:sz w:val="24"/>
          <w:szCs w:val="24"/>
        </w:rPr>
        <w:t>provide guidelines</w:t>
      </w:r>
      <w:r w:rsidRPr="002F6EB7">
        <w:rPr>
          <w:sz w:val="24"/>
          <w:szCs w:val="24"/>
        </w:rPr>
        <w:t xml:space="preserve"> </w:t>
      </w:r>
      <w:r w:rsidR="00940750" w:rsidRPr="002F6EB7">
        <w:rPr>
          <w:sz w:val="24"/>
          <w:szCs w:val="24"/>
        </w:rPr>
        <w:t xml:space="preserve">for </w:t>
      </w:r>
      <w:r w:rsidRPr="002F6EB7">
        <w:rPr>
          <w:sz w:val="24"/>
          <w:szCs w:val="24"/>
        </w:rPr>
        <w:t>access, transfer and progression</w:t>
      </w:r>
      <w:r w:rsidR="00940750" w:rsidRPr="002F6EB7">
        <w:rPr>
          <w:sz w:val="24"/>
          <w:szCs w:val="24"/>
        </w:rPr>
        <w:t xml:space="preserve"> under goal 2. </w:t>
      </w:r>
      <w:r w:rsidRPr="002F6EB7">
        <w:rPr>
          <w:sz w:val="24"/>
          <w:szCs w:val="24"/>
        </w:rPr>
        <w:t xml:space="preserve"> </w:t>
      </w:r>
      <w:r w:rsidR="00940750" w:rsidRPr="002F6EB7">
        <w:rPr>
          <w:sz w:val="24"/>
          <w:szCs w:val="24"/>
        </w:rPr>
        <w:t xml:space="preserve">RPL </w:t>
      </w:r>
      <w:r w:rsidR="00A50C8C" w:rsidRPr="002F6EB7">
        <w:rPr>
          <w:sz w:val="24"/>
          <w:szCs w:val="24"/>
        </w:rPr>
        <w:t xml:space="preserve">could prove </w:t>
      </w:r>
      <w:r w:rsidRPr="002F6EB7">
        <w:rPr>
          <w:sz w:val="24"/>
          <w:szCs w:val="24"/>
        </w:rPr>
        <w:t xml:space="preserve">an important </w:t>
      </w:r>
      <w:r w:rsidR="00940750" w:rsidRPr="002F6EB7">
        <w:rPr>
          <w:sz w:val="24"/>
          <w:szCs w:val="24"/>
        </w:rPr>
        <w:t>aspect of support</w:t>
      </w:r>
      <w:r w:rsidR="00A50C8C" w:rsidRPr="002F6EB7">
        <w:rPr>
          <w:sz w:val="24"/>
          <w:szCs w:val="24"/>
        </w:rPr>
        <w:t>ing</w:t>
      </w:r>
      <w:r w:rsidR="00940750" w:rsidRPr="002F6EB7">
        <w:rPr>
          <w:sz w:val="24"/>
          <w:szCs w:val="24"/>
        </w:rPr>
        <w:t xml:space="preserve"> access and progression </w:t>
      </w:r>
      <w:r w:rsidR="00A50C8C" w:rsidRPr="002F6EB7">
        <w:rPr>
          <w:sz w:val="24"/>
          <w:szCs w:val="24"/>
        </w:rPr>
        <w:t xml:space="preserve">for some learners. However, </w:t>
      </w:r>
      <w:r w:rsidR="00940750" w:rsidRPr="002F6EB7">
        <w:rPr>
          <w:sz w:val="24"/>
          <w:szCs w:val="24"/>
        </w:rPr>
        <w:t xml:space="preserve">it a complex concept and implementation can be quite </w:t>
      </w:r>
      <w:r w:rsidRPr="002F6EB7">
        <w:rPr>
          <w:sz w:val="24"/>
          <w:szCs w:val="24"/>
        </w:rPr>
        <w:t>problematic</w:t>
      </w:r>
      <w:r w:rsidR="00940750" w:rsidRPr="002F6EB7">
        <w:rPr>
          <w:sz w:val="24"/>
          <w:szCs w:val="24"/>
        </w:rPr>
        <w:t xml:space="preserve"> depending on learner needs</w:t>
      </w:r>
      <w:r w:rsidR="00A50C8C" w:rsidRPr="002F6EB7">
        <w:rPr>
          <w:sz w:val="24"/>
          <w:szCs w:val="24"/>
        </w:rPr>
        <w:t xml:space="preserve">, </w:t>
      </w:r>
      <w:r w:rsidR="00940750" w:rsidRPr="002F6EB7">
        <w:rPr>
          <w:sz w:val="24"/>
          <w:szCs w:val="24"/>
        </w:rPr>
        <w:t>provider focus</w:t>
      </w:r>
      <w:r w:rsidR="00A50C8C" w:rsidRPr="002F6EB7">
        <w:rPr>
          <w:sz w:val="24"/>
          <w:szCs w:val="24"/>
        </w:rPr>
        <w:t xml:space="preserve"> and available resources and support</w:t>
      </w:r>
      <w:r w:rsidR="00940750" w:rsidRPr="002F6EB7">
        <w:rPr>
          <w:sz w:val="24"/>
          <w:szCs w:val="24"/>
        </w:rPr>
        <w:t>. C</w:t>
      </w:r>
      <w:r w:rsidRPr="002F6EB7">
        <w:rPr>
          <w:sz w:val="24"/>
          <w:szCs w:val="24"/>
        </w:rPr>
        <w:t xml:space="preserve">lear guidelines will be critical to </w:t>
      </w:r>
      <w:r w:rsidR="00940750" w:rsidRPr="002F6EB7">
        <w:rPr>
          <w:sz w:val="24"/>
          <w:szCs w:val="24"/>
        </w:rPr>
        <w:t xml:space="preserve">guide </w:t>
      </w:r>
      <w:r w:rsidRPr="002F6EB7">
        <w:rPr>
          <w:sz w:val="24"/>
          <w:szCs w:val="24"/>
        </w:rPr>
        <w:t xml:space="preserve">how and which learners can best or appropriately benefit </w:t>
      </w:r>
      <w:r w:rsidR="00940750" w:rsidRPr="002F6EB7">
        <w:rPr>
          <w:sz w:val="24"/>
          <w:szCs w:val="24"/>
        </w:rPr>
        <w:t xml:space="preserve">from RPL.  In the absence of clear policy and practice guidelines learner expectations may be unrealistic, access to RPL may vary enormously depending on provider approach and capacity and the rigour applied may be inconsistent across providers </w:t>
      </w:r>
      <w:r w:rsidR="007A1D00" w:rsidRPr="002F6EB7">
        <w:rPr>
          <w:sz w:val="24"/>
          <w:szCs w:val="24"/>
        </w:rPr>
        <w:t>-</w:t>
      </w:r>
      <w:r w:rsidR="00940750" w:rsidRPr="002F6EB7">
        <w:rPr>
          <w:sz w:val="24"/>
          <w:szCs w:val="24"/>
        </w:rPr>
        <w:t xml:space="preserve"> which </w:t>
      </w:r>
      <w:r w:rsidR="00026F05" w:rsidRPr="002F6EB7">
        <w:rPr>
          <w:sz w:val="24"/>
          <w:szCs w:val="24"/>
        </w:rPr>
        <w:t>c</w:t>
      </w:r>
      <w:r w:rsidR="00940750" w:rsidRPr="002F6EB7">
        <w:rPr>
          <w:sz w:val="24"/>
          <w:szCs w:val="24"/>
        </w:rPr>
        <w:t>ould serve to under</w:t>
      </w:r>
      <w:r w:rsidR="00026F05" w:rsidRPr="002F6EB7">
        <w:rPr>
          <w:sz w:val="24"/>
          <w:szCs w:val="24"/>
        </w:rPr>
        <w:t xml:space="preserve">mine standards and trust in the process overtime. </w:t>
      </w:r>
      <w:r w:rsidR="00940750" w:rsidRPr="002F6EB7">
        <w:rPr>
          <w:sz w:val="24"/>
          <w:szCs w:val="24"/>
        </w:rPr>
        <w:t xml:space="preserve">    </w:t>
      </w:r>
      <w:r w:rsidRPr="002F6EB7">
        <w:rPr>
          <w:sz w:val="24"/>
          <w:szCs w:val="24"/>
        </w:rPr>
        <w:t xml:space="preserve">   </w:t>
      </w:r>
      <w:r w:rsidR="00E739A9" w:rsidRPr="002F6EB7">
        <w:rPr>
          <w:sz w:val="24"/>
          <w:szCs w:val="24"/>
        </w:rPr>
        <w:t xml:space="preserve"> </w:t>
      </w:r>
      <w:r w:rsidR="000754F0" w:rsidRPr="002F6EB7">
        <w:rPr>
          <w:sz w:val="24"/>
          <w:szCs w:val="24"/>
        </w:rPr>
        <w:t xml:space="preserve"> </w:t>
      </w:r>
    </w:p>
    <w:p w:rsidR="00C1520E" w:rsidRDefault="00C1520E" w:rsidP="00CE40B8">
      <w:pPr>
        <w:pStyle w:val="ListParagraph"/>
        <w:jc w:val="both"/>
        <w:rPr>
          <w:sz w:val="24"/>
          <w:szCs w:val="24"/>
        </w:rPr>
      </w:pPr>
    </w:p>
    <w:p w:rsidR="00C1520E" w:rsidRDefault="00C1520E" w:rsidP="00CE40B8">
      <w:pPr>
        <w:pStyle w:val="ListParagraph"/>
        <w:jc w:val="both"/>
        <w:rPr>
          <w:sz w:val="24"/>
          <w:szCs w:val="24"/>
        </w:rPr>
      </w:pPr>
      <w:r>
        <w:rPr>
          <w:sz w:val="24"/>
          <w:szCs w:val="24"/>
        </w:rPr>
        <w:t xml:space="preserve">A further area of work that may merit being listed under priorities refers to the review of the Leaving Certificate with a view to providing greater clarity as to how achievement in the Leaving Certificate is linked to the NFQ.  Currently, there is little capacity under the framework to denote the real difference that exists in student achievement at this level. </w:t>
      </w:r>
    </w:p>
    <w:p w:rsidR="00C1520E" w:rsidRDefault="00C1520E" w:rsidP="00CE40B8">
      <w:pPr>
        <w:pStyle w:val="ListParagraph"/>
        <w:jc w:val="both"/>
        <w:rPr>
          <w:sz w:val="24"/>
          <w:szCs w:val="24"/>
        </w:rPr>
      </w:pPr>
    </w:p>
    <w:p w:rsidR="008230D5" w:rsidRDefault="00C1520E" w:rsidP="00CE40B8">
      <w:pPr>
        <w:pStyle w:val="ListParagraph"/>
        <w:jc w:val="both"/>
        <w:rPr>
          <w:sz w:val="24"/>
          <w:szCs w:val="24"/>
        </w:rPr>
      </w:pPr>
      <w:r>
        <w:rPr>
          <w:sz w:val="24"/>
          <w:szCs w:val="24"/>
        </w:rPr>
        <w:t xml:space="preserve">Another sensitive area is </w:t>
      </w:r>
      <w:r w:rsidR="008230D5">
        <w:rPr>
          <w:sz w:val="24"/>
          <w:szCs w:val="24"/>
        </w:rPr>
        <w:t xml:space="preserve">the ‘shared space’ i.e. </w:t>
      </w:r>
      <w:r>
        <w:rPr>
          <w:sz w:val="24"/>
          <w:szCs w:val="24"/>
        </w:rPr>
        <w:t>Level 6 awards</w:t>
      </w:r>
      <w:r w:rsidR="008230D5">
        <w:rPr>
          <w:sz w:val="24"/>
          <w:szCs w:val="24"/>
        </w:rPr>
        <w:t xml:space="preserve"> </w:t>
      </w:r>
      <w:r>
        <w:rPr>
          <w:sz w:val="24"/>
          <w:szCs w:val="24"/>
        </w:rPr>
        <w:t xml:space="preserve">provided under further education and training and third level. Ultimately, an award at Level </w:t>
      </w:r>
      <w:r w:rsidR="008230D5">
        <w:rPr>
          <w:sz w:val="24"/>
          <w:szCs w:val="24"/>
        </w:rPr>
        <w:t>6 should</w:t>
      </w:r>
      <w:r>
        <w:rPr>
          <w:sz w:val="24"/>
          <w:szCs w:val="24"/>
        </w:rPr>
        <w:t xml:space="preserve"> have parity of esteem and value</w:t>
      </w:r>
      <w:r w:rsidR="008230D5">
        <w:rPr>
          <w:sz w:val="24"/>
          <w:szCs w:val="24"/>
        </w:rPr>
        <w:t>,</w:t>
      </w:r>
      <w:r>
        <w:rPr>
          <w:sz w:val="24"/>
          <w:szCs w:val="24"/>
        </w:rPr>
        <w:t xml:space="preserve"> irrespective of which provider delivered the programme or where the learning was undertaken. This is an important area, especially with reference to seamless opportunities for progression to further study. </w:t>
      </w:r>
      <w:r w:rsidR="008230D5">
        <w:rPr>
          <w:sz w:val="24"/>
          <w:szCs w:val="24"/>
        </w:rPr>
        <w:t xml:space="preserve"> In addition, a number of issues arise as a consequence of all programmes under the apprenticeship scheme being located at the same level. This is problematic and should be addressed. </w:t>
      </w:r>
    </w:p>
    <w:p w:rsidR="00C1520E" w:rsidRPr="002F6EB7" w:rsidRDefault="008230D5" w:rsidP="00CE40B8">
      <w:pPr>
        <w:pStyle w:val="ListParagraph"/>
        <w:jc w:val="both"/>
        <w:rPr>
          <w:sz w:val="24"/>
          <w:szCs w:val="24"/>
        </w:rPr>
      </w:pPr>
      <w:r>
        <w:rPr>
          <w:sz w:val="24"/>
          <w:szCs w:val="24"/>
        </w:rPr>
        <w:t xml:space="preserve"> </w:t>
      </w:r>
      <w:r w:rsidR="00C1520E">
        <w:rPr>
          <w:sz w:val="24"/>
          <w:szCs w:val="24"/>
        </w:rPr>
        <w:t xml:space="preserve">     </w:t>
      </w:r>
    </w:p>
    <w:p w:rsidR="00372584" w:rsidRPr="00026F05" w:rsidRDefault="00C773CF" w:rsidP="00CE40B8">
      <w:pPr>
        <w:jc w:val="both"/>
        <w:rPr>
          <w:sz w:val="24"/>
          <w:szCs w:val="24"/>
        </w:rPr>
      </w:pPr>
      <w:r>
        <w:rPr>
          <w:sz w:val="24"/>
          <w:szCs w:val="24"/>
        </w:rPr>
        <w:lastRenderedPageBreak/>
        <w:t>In conclusion, TUI advises that t</w:t>
      </w:r>
      <w:r w:rsidR="007A1D00">
        <w:rPr>
          <w:sz w:val="24"/>
          <w:szCs w:val="24"/>
        </w:rPr>
        <w:t xml:space="preserve">he above comments should be taken as preliminary observations. They will be further explored as part of a discrete meeting </w:t>
      </w:r>
      <w:r>
        <w:rPr>
          <w:sz w:val="24"/>
          <w:szCs w:val="24"/>
        </w:rPr>
        <w:t>with QQI</w:t>
      </w:r>
      <w:r w:rsidR="007A1D00">
        <w:rPr>
          <w:sz w:val="24"/>
          <w:szCs w:val="24"/>
        </w:rPr>
        <w:t xml:space="preserve"> officials in </w:t>
      </w:r>
      <w:r>
        <w:rPr>
          <w:sz w:val="24"/>
          <w:szCs w:val="24"/>
        </w:rPr>
        <w:t>the near</w:t>
      </w:r>
      <w:r w:rsidR="007A1D00">
        <w:rPr>
          <w:sz w:val="24"/>
          <w:szCs w:val="24"/>
        </w:rPr>
        <w:t xml:space="preserve"> future. </w:t>
      </w:r>
    </w:p>
    <w:p w:rsidR="005D7074" w:rsidRPr="00026F05" w:rsidRDefault="007A1D00" w:rsidP="00CE40B8">
      <w:pPr>
        <w:jc w:val="both"/>
        <w:rPr>
          <w:sz w:val="24"/>
          <w:szCs w:val="24"/>
        </w:rPr>
      </w:pPr>
      <w:r w:rsidRPr="007A1D00">
        <w:rPr>
          <w:b/>
          <w:i/>
          <w:sz w:val="24"/>
          <w:szCs w:val="24"/>
        </w:rPr>
        <w:t xml:space="preserve">For </w:t>
      </w:r>
      <w:r w:rsidR="008230D5">
        <w:rPr>
          <w:b/>
          <w:i/>
          <w:sz w:val="24"/>
          <w:szCs w:val="24"/>
        </w:rPr>
        <w:t xml:space="preserve">further </w:t>
      </w:r>
      <w:r w:rsidRPr="007A1D00">
        <w:rPr>
          <w:b/>
          <w:i/>
          <w:sz w:val="24"/>
          <w:szCs w:val="24"/>
        </w:rPr>
        <w:t>clarification please contact:</w:t>
      </w:r>
      <w:r w:rsidR="008230D5">
        <w:rPr>
          <w:b/>
          <w:i/>
          <w:sz w:val="24"/>
          <w:szCs w:val="24"/>
        </w:rPr>
        <w:t xml:space="preserve"> </w:t>
      </w:r>
      <w:r w:rsidRPr="007A1D00">
        <w:rPr>
          <w:b/>
          <w:i/>
          <w:sz w:val="24"/>
          <w:szCs w:val="24"/>
        </w:rPr>
        <w:t xml:space="preserve">Bernie Judge, Education/Research Officer at bjudge@tui.ie     </w:t>
      </w:r>
      <w:r w:rsidR="00794F15" w:rsidRPr="00026F05">
        <w:rPr>
          <w:sz w:val="24"/>
          <w:szCs w:val="24"/>
        </w:rPr>
        <w:t xml:space="preserve">  </w:t>
      </w:r>
      <w:r w:rsidR="00ED1472" w:rsidRPr="00026F05">
        <w:rPr>
          <w:sz w:val="24"/>
          <w:szCs w:val="24"/>
        </w:rPr>
        <w:t xml:space="preserve">    </w:t>
      </w:r>
      <w:r w:rsidR="005D7074" w:rsidRPr="00026F05">
        <w:rPr>
          <w:sz w:val="24"/>
          <w:szCs w:val="24"/>
        </w:rPr>
        <w:t xml:space="preserve">  </w:t>
      </w:r>
    </w:p>
    <w:sectPr w:rsidR="005D7074" w:rsidRPr="00026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795"/>
    <w:multiLevelType w:val="hybridMultilevel"/>
    <w:tmpl w:val="542EB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9560D"/>
    <w:multiLevelType w:val="hybridMultilevel"/>
    <w:tmpl w:val="CCCE8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D16AA2"/>
    <w:multiLevelType w:val="hybridMultilevel"/>
    <w:tmpl w:val="3B522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7A62C6"/>
    <w:multiLevelType w:val="hybridMultilevel"/>
    <w:tmpl w:val="28A83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C24012"/>
    <w:multiLevelType w:val="hybridMultilevel"/>
    <w:tmpl w:val="9BC66C22"/>
    <w:lvl w:ilvl="0" w:tplc="DC00844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5AB69FD"/>
    <w:multiLevelType w:val="hybridMultilevel"/>
    <w:tmpl w:val="9BE41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3A05B2"/>
    <w:multiLevelType w:val="hybridMultilevel"/>
    <w:tmpl w:val="752CA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BC60CD"/>
    <w:multiLevelType w:val="hybridMultilevel"/>
    <w:tmpl w:val="A320841C"/>
    <w:lvl w:ilvl="0" w:tplc="DC00844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0266EC"/>
    <w:multiLevelType w:val="hybridMultilevel"/>
    <w:tmpl w:val="6B9CB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6B0F03"/>
    <w:multiLevelType w:val="hybridMultilevel"/>
    <w:tmpl w:val="81A4E80C"/>
    <w:lvl w:ilvl="0" w:tplc="DC00844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735E2AC2"/>
    <w:multiLevelType w:val="hybridMultilevel"/>
    <w:tmpl w:val="3A52DECE"/>
    <w:lvl w:ilvl="0" w:tplc="DC00844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9"/>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9D"/>
    <w:rsid w:val="00026F05"/>
    <w:rsid w:val="00063C6D"/>
    <w:rsid w:val="000754F0"/>
    <w:rsid w:val="000842CD"/>
    <w:rsid w:val="000B2CAA"/>
    <w:rsid w:val="000B34DA"/>
    <w:rsid w:val="00121ABA"/>
    <w:rsid w:val="0018000E"/>
    <w:rsid w:val="001F397A"/>
    <w:rsid w:val="002B4EBB"/>
    <w:rsid w:val="002C1942"/>
    <w:rsid w:val="002C4C34"/>
    <w:rsid w:val="002F6EB7"/>
    <w:rsid w:val="00305BB6"/>
    <w:rsid w:val="003117C7"/>
    <w:rsid w:val="00314274"/>
    <w:rsid w:val="00372584"/>
    <w:rsid w:val="003B2EC6"/>
    <w:rsid w:val="003C4BA5"/>
    <w:rsid w:val="003D4E7F"/>
    <w:rsid w:val="003E1663"/>
    <w:rsid w:val="00414339"/>
    <w:rsid w:val="00425D2D"/>
    <w:rsid w:val="00443F9C"/>
    <w:rsid w:val="00493969"/>
    <w:rsid w:val="004D54A9"/>
    <w:rsid w:val="004E5FC9"/>
    <w:rsid w:val="00546919"/>
    <w:rsid w:val="00581FFF"/>
    <w:rsid w:val="005D7074"/>
    <w:rsid w:val="006220D9"/>
    <w:rsid w:val="00637B3D"/>
    <w:rsid w:val="006521EF"/>
    <w:rsid w:val="006F3161"/>
    <w:rsid w:val="0070754D"/>
    <w:rsid w:val="00782166"/>
    <w:rsid w:val="00794F15"/>
    <w:rsid w:val="007A1D00"/>
    <w:rsid w:val="007D06DC"/>
    <w:rsid w:val="007E4AD7"/>
    <w:rsid w:val="008230D5"/>
    <w:rsid w:val="00863887"/>
    <w:rsid w:val="008D481C"/>
    <w:rsid w:val="00920DA6"/>
    <w:rsid w:val="00940750"/>
    <w:rsid w:val="00947AA0"/>
    <w:rsid w:val="00965240"/>
    <w:rsid w:val="00A50C8C"/>
    <w:rsid w:val="00A865E4"/>
    <w:rsid w:val="00AC64C6"/>
    <w:rsid w:val="00AE78A2"/>
    <w:rsid w:val="00B10904"/>
    <w:rsid w:val="00B15D04"/>
    <w:rsid w:val="00B8406F"/>
    <w:rsid w:val="00BB32F8"/>
    <w:rsid w:val="00C1520E"/>
    <w:rsid w:val="00C2189D"/>
    <w:rsid w:val="00C772A9"/>
    <w:rsid w:val="00C773CF"/>
    <w:rsid w:val="00C95E8E"/>
    <w:rsid w:val="00CE1C62"/>
    <w:rsid w:val="00CE40B8"/>
    <w:rsid w:val="00D23745"/>
    <w:rsid w:val="00D25FC8"/>
    <w:rsid w:val="00D93134"/>
    <w:rsid w:val="00DC0C2F"/>
    <w:rsid w:val="00DF784E"/>
    <w:rsid w:val="00E135F1"/>
    <w:rsid w:val="00E739A9"/>
    <w:rsid w:val="00E84A15"/>
    <w:rsid w:val="00ED1472"/>
    <w:rsid w:val="00F075B0"/>
    <w:rsid w:val="00F22C35"/>
    <w:rsid w:val="00F2435D"/>
    <w:rsid w:val="00F55D74"/>
    <w:rsid w:val="00F74BB1"/>
    <w:rsid w:val="00FA2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A9"/>
    <w:pPr>
      <w:ind w:left="720"/>
      <w:contextualSpacing/>
    </w:pPr>
  </w:style>
  <w:style w:type="character" w:styleId="Hyperlink">
    <w:name w:val="Hyperlink"/>
    <w:basedOn w:val="DefaultParagraphFont"/>
    <w:uiPriority w:val="99"/>
    <w:unhideWhenUsed/>
    <w:rsid w:val="007A1D00"/>
    <w:rPr>
      <w:color w:val="0000FF" w:themeColor="hyperlink"/>
      <w:u w:val="single"/>
    </w:rPr>
  </w:style>
  <w:style w:type="paragraph" w:styleId="BalloonText">
    <w:name w:val="Balloon Text"/>
    <w:basedOn w:val="Normal"/>
    <w:link w:val="BalloonTextChar"/>
    <w:uiPriority w:val="99"/>
    <w:semiHidden/>
    <w:unhideWhenUsed/>
    <w:rsid w:val="00B1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A9"/>
    <w:pPr>
      <w:ind w:left="720"/>
      <w:contextualSpacing/>
    </w:pPr>
  </w:style>
  <w:style w:type="character" w:styleId="Hyperlink">
    <w:name w:val="Hyperlink"/>
    <w:basedOn w:val="DefaultParagraphFont"/>
    <w:uiPriority w:val="99"/>
    <w:unhideWhenUsed/>
    <w:rsid w:val="007A1D00"/>
    <w:rPr>
      <w:color w:val="0000FF" w:themeColor="hyperlink"/>
      <w:u w:val="single"/>
    </w:rPr>
  </w:style>
  <w:style w:type="paragraph" w:styleId="BalloonText">
    <w:name w:val="Balloon Text"/>
    <w:basedOn w:val="Normal"/>
    <w:link w:val="BalloonTextChar"/>
    <w:uiPriority w:val="99"/>
    <w:semiHidden/>
    <w:unhideWhenUsed/>
    <w:rsid w:val="00B1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4180-E734-413F-84C0-FD0F49B8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dcterms:created xsi:type="dcterms:W3CDTF">2014-02-17T11:26:00Z</dcterms:created>
  <dcterms:modified xsi:type="dcterms:W3CDTF">2014-02-17T11:26:00Z</dcterms:modified>
</cp:coreProperties>
</file>